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95D" w:rsidRPr="003D495D" w:rsidRDefault="003D495D" w:rsidP="003D495D">
      <w:pPr>
        <w:keepNext/>
        <w:tabs>
          <w:tab w:val="left" w:pos="8647"/>
        </w:tabs>
        <w:spacing w:after="0" w:line="240" w:lineRule="auto"/>
        <w:rPr>
          <w:rFonts w:ascii="Times New Roman" w:eastAsia="Calibri" w:hAnsi="Times New Roman" w:cs="Times New Roman"/>
          <w:b/>
        </w:rPr>
      </w:pPr>
      <w:bookmarkStart w:id="0" w:name="_GoBack"/>
      <w:bookmarkEnd w:id="0"/>
    </w:p>
    <w:p w:rsidR="003D495D" w:rsidRPr="003D495D" w:rsidRDefault="003D495D" w:rsidP="003D495D">
      <w:pPr>
        <w:keepNext/>
        <w:tabs>
          <w:tab w:val="left" w:pos="8647"/>
        </w:tabs>
        <w:spacing w:after="0" w:line="240" w:lineRule="auto"/>
        <w:jc w:val="center"/>
        <w:rPr>
          <w:rFonts w:ascii="Times New Roman" w:eastAsia="Calibri" w:hAnsi="Times New Roman" w:cs="Times New Roman"/>
          <w:b/>
        </w:rPr>
      </w:pPr>
    </w:p>
    <w:p w:rsidR="003D495D" w:rsidRPr="003D495D" w:rsidRDefault="003D495D" w:rsidP="003D495D">
      <w:pPr>
        <w:tabs>
          <w:tab w:val="left" w:pos="9360"/>
          <w:tab w:val="left" w:pos="12960"/>
        </w:tabs>
        <w:spacing w:after="0" w:line="240" w:lineRule="auto"/>
        <w:jc w:val="center"/>
        <w:rPr>
          <w:rFonts w:ascii="Times New Roman" w:eastAsia="Calibri" w:hAnsi="Times New Roman" w:cs="Times New Roman"/>
          <w:b/>
          <w:sz w:val="24"/>
          <w:szCs w:val="24"/>
        </w:rPr>
      </w:pPr>
      <w:r w:rsidRPr="003D495D">
        <w:rPr>
          <w:rFonts w:ascii="Times New Roman" w:eastAsia="Calibri" w:hAnsi="Times New Roman" w:cs="Times New Roman"/>
          <w:b/>
          <w:sz w:val="24"/>
          <w:szCs w:val="24"/>
        </w:rPr>
        <w:t>2. ANALIZA PROGRAMULUI DE CHELTUIELI PENTRU SECTORUL EDUCAŢIEI</w:t>
      </w:r>
    </w:p>
    <w:p w:rsidR="003D495D" w:rsidRPr="003D495D" w:rsidRDefault="003D495D" w:rsidP="003D495D">
      <w:pPr>
        <w:tabs>
          <w:tab w:val="left" w:pos="9360"/>
          <w:tab w:val="left" w:pos="12960"/>
        </w:tabs>
        <w:spacing w:after="0" w:line="240" w:lineRule="auto"/>
        <w:jc w:val="center"/>
        <w:rPr>
          <w:rFonts w:ascii="Times New Roman" w:eastAsia="Calibri" w:hAnsi="Times New Roman" w:cs="Times New Roman"/>
          <w:b/>
          <w:szCs w:val="20"/>
        </w:rPr>
      </w:pPr>
    </w:p>
    <w:tbl>
      <w:tblPr>
        <w:tblW w:w="14411" w:type="dxa"/>
        <w:tblInd w:w="468" w:type="dxa"/>
        <w:tblLook w:val="00A0" w:firstRow="1" w:lastRow="0" w:firstColumn="1" w:lastColumn="0" w:noHBand="0" w:noVBand="0"/>
      </w:tblPr>
      <w:tblGrid>
        <w:gridCol w:w="3372"/>
        <w:gridCol w:w="3528"/>
        <w:gridCol w:w="73"/>
        <w:gridCol w:w="1789"/>
        <w:gridCol w:w="1380"/>
        <w:gridCol w:w="1380"/>
        <w:gridCol w:w="2889"/>
      </w:tblGrid>
      <w:tr w:rsidR="003D495D" w:rsidRPr="003D495D" w:rsidTr="009D346D">
        <w:trPr>
          <w:trHeight w:val="240"/>
        </w:trPr>
        <w:tc>
          <w:tcPr>
            <w:tcW w:w="14411" w:type="dxa"/>
            <w:gridSpan w:val="7"/>
            <w:tcBorders>
              <w:top w:val="single" w:sz="4" w:space="0" w:color="auto"/>
              <w:left w:val="single" w:sz="4" w:space="0" w:color="auto"/>
              <w:bottom w:val="nil"/>
              <w:right w:val="single" w:sz="4" w:space="0" w:color="auto"/>
            </w:tcBorders>
          </w:tcPr>
          <w:p w:rsidR="003D495D" w:rsidRPr="003D495D" w:rsidRDefault="003D495D" w:rsidP="003D495D">
            <w:pPr>
              <w:tabs>
                <w:tab w:val="left" w:pos="9360"/>
                <w:tab w:val="left" w:pos="12960"/>
              </w:tabs>
              <w:spacing w:after="0" w:line="240" w:lineRule="auto"/>
              <w:jc w:val="center"/>
              <w:rPr>
                <w:rFonts w:ascii="Times New Roman" w:eastAsia="Calibri" w:hAnsi="Times New Roman" w:cs="Times New Roman"/>
                <w:b/>
                <w:szCs w:val="20"/>
              </w:rPr>
            </w:pPr>
          </w:p>
          <w:p w:rsidR="003D495D" w:rsidRPr="003D495D" w:rsidRDefault="003D495D" w:rsidP="003D495D">
            <w:pPr>
              <w:tabs>
                <w:tab w:val="left" w:pos="9360"/>
                <w:tab w:val="left" w:pos="12960"/>
              </w:tabs>
              <w:spacing w:after="0" w:line="240" w:lineRule="auto"/>
              <w:jc w:val="center"/>
              <w:rPr>
                <w:rFonts w:ascii="Times New Roman" w:eastAsia="Calibri" w:hAnsi="Times New Roman" w:cs="Times New Roman"/>
                <w:b/>
                <w:szCs w:val="20"/>
              </w:rPr>
            </w:pPr>
            <w:r w:rsidRPr="003D495D">
              <w:rPr>
                <w:rFonts w:ascii="Times New Roman" w:eastAsia="Calibri" w:hAnsi="Times New Roman" w:cs="Times New Roman"/>
                <w:b/>
                <w:szCs w:val="20"/>
              </w:rPr>
              <w:t>(Programul Învăţămînt)</w:t>
            </w:r>
          </w:p>
          <w:p w:rsidR="003D495D" w:rsidRPr="003D495D" w:rsidRDefault="003D495D" w:rsidP="003D495D">
            <w:pPr>
              <w:tabs>
                <w:tab w:val="left" w:pos="9360"/>
                <w:tab w:val="left" w:pos="12960"/>
              </w:tabs>
              <w:spacing w:after="0" w:line="240" w:lineRule="auto"/>
              <w:rPr>
                <w:rFonts w:ascii="Times New Roman" w:eastAsia="Calibri" w:hAnsi="Times New Roman" w:cs="Times New Roman"/>
                <w:b/>
                <w:szCs w:val="20"/>
              </w:rPr>
            </w:pPr>
          </w:p>
        </w:tc>
      </w:tr>
      <w:tr w:rsidR="003D495D" w:rsidRPr="003D495D" w:rsidTr="009D346D">
        <w:trPr>
          <w:trHeight w:val="240"/>
        </w:trPr>
        <w:tc>
          <w:tcPr>
            <w:tcW w:w="3372" w:type="dxa"/>
            <w:vMerge w:val="restart"/>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Probleme-cheie/obiective de politici</w:t>
            </w:r>
          </w:p>
        </w:tc>
        <w:tc>
          <w:tcPr>
            <w:tcW w:w="3601" w:type="dxa"/>
            <w:gridSpan w:val="2"/>
            <w:vMerge w:val="restart"/>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Acţiuni prioritare pentru atingerea obiectivelor</w:t>
            </w:r>
          </w:p>
        </w:tc>
        <w:tc>
          <w:tcPr>
            <w:tcW w:w="4549" w:type="dxa"/>
            <w:gridSpan w:val="3"/>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Costurile acţiunilor pe ani  (mii lei )</w:t>
            </w:r>
          </w:p>
        </w:tc>
        <w:tc>
          <w:tcPr>
            <w:tcW w:w="2889" w:type="dxa"/>
            <w:vMerge w:val="restart"/>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Indicatori de monitorizare</w:t>
            </w:r>
          </w:p>
        </w:tc>
      </w:tr>
      <w:tr w:rsidR="003D495D" w:rsidRPr="003D495D" w:rsidTr="009D346D">
        <w:trPr>
          <w:trHeight w:val="240"/>
        </w:trPr>
        <w:tc>
          <w:tcPr>
            <w:tcW w:w="3372" w:type="dxa"/>
            <w:vMerge/>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rPr>
                <w:rFonts w:ascii="Times New Roman" w:eastAsia="Calibri" w:hAnsi="Times New Roman" w:cs="Times New Roman"/>
                <w:b/>
                <w:bCs/>
                <w:szCs w:val="20"/>
              </w:rPr>
            </w:pPr>
          </w:p>
        </w:tc>
        <w:tc>
          <w:tcPr>
            <w:tcW w:w="3601" w:type="dxa"/>
            <w:gridSpan w:val="2"/>
            <w:vMerge/>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rPr>
                <w:rFonts w:ascii="Times New Roman" w:eastAsia="Calibri" w:hAnsi="Times New Roman" w:cs="Times New Roman"/>
                <w:b/>
                <w:bCs/>
                <w:szCs w:val="20"/>
              </w:rPr>
            </w:pPr>
          </w:p>
        </w:tc>
        <w:tc>
          <w:tcPr>
            <w:tcW w:w="1789" w:type="dxa"/>
            <w:tcBorders>
              <w:top w:val="nil"/>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2017</w:t>
            </w:r>
          </w:p>
        </w:tc>
        <w:tc>
          <w:tcPr>
            <w:tcW w:w="1380" w:type="dxa"/>
            <w:tcBorders>
              <w:top w:val="nil"/>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2018</w:t>
            </w:r>
          </w:p>
        </w:tc>
        <w:tc>
          <w:tcPr>
            <w:tcW w:w="1380" w:type="dxa"/>
            <w:tcBorders>
              <w:top w:val="nil"/>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2019</w:t>
            </w:r>
          </w:p>
        </w:tc>
        <w:tc>
          <w:tcPr>
            <w:tcW w:w="2889" w:type="dxa"/>
            <w:vMerge/>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rPr>
                <w:rFonts w:ascii="Times New Roman" w:eastAsia="Calibri" w:hAnsi="Times New Roman" w:cs="Times New Roman"/>
                <w:b/>
                <w:bCs/>
                <w:szCs w:val="20"/>
              </w:rPr>
            </w:pPr>
          </w:p>
        </w:tc>
      </w:tr>
      <w:tr w:rsidR="003D495D" w:rsidRPr="003D495D" w:rsidTr="009D346D">
        <w:trPr>
          <w:trHeight w:val="240"/>
        </w:trPr>
        <w:tc>
          <w:tcPr>
            <w:tcW w:w="3372" w:type="dxa"/>
            <w:tcBorders>
              <w:top w:val="nil"/>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1</w:t>
            </w:r>
          </w:p>
        </w:tc>
        <w:tc>
          <w:tcPr>
            <w:tcW w:w="3601" w:type="dxa"/>
            <w:gridSpan w:val="2"/>
            <w:tcBorders>
              <w:top w:val="nil"/>
              <w:left w:val="nil"/>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2</w:t>
            </w:r>
          </w:p>
        </w:tc>
        <w:tc>
          <w:tcPr>
            <w:tcW w:w="1789" w:type="dxa"/>
            <w:tcBorders>
              <w:top w:val="nil"/>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3</w:t>
            </w:r>
          </w:p>
        </w:tc>
        <w:tc>
          <w:tcPr>
            <w:tcW w:w="1380" w:type="dxa"/>
            <w:tcBorders>
              <w:top w:val="nil"/>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4</w:t>
            </w:r>
          </w:p>
        </w:tc>
        <w:tc>
          <w:tcPr>
            <w:tcW w:w="1380" w:type="dxa"/>
            <w:tcBorders>
              <w:top w:val="nil"/>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5</w:t>
            </w:r>
          </w:p>
        </w:tc>
        <w:tc>
          <w:tcPr>
            <w:tcW w:w="2889" w:type="dxa"/>
            <w:tcBorders>
              <w:top w:val="nil"/>
              <w:left w:val="nil"/>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6</w:t>
            </w:r>
          </w:p>
        </w:tc>
      </w:tr>
      <w:tr w:rsidR="003D495D" w:rsidRPr="003D495D" w:rsidTr="009D346D">
        <w:trPr>
          <w:trHeight w:val="645"/>
        </w:trPr>
        <w:tc>
          <w:tcPr>
            <w:tcW w:w="14411" w:type="dxa"/>
            <w:gridSpan w:val="7"/>
            <w:tcBorders>
              <w:top w:val="single" w:sz="4" w:space="0" w:color="auto"/>
              <w:left w:val="single" w:sz="4" w:space="0" w:color="auto"/>
              <w:bottom w:val="single" w:sz="4" w:space="0" w:color="auto"/>
              <w:right w:val="single" w:sz="4" w:space="0" w:color="auto"/>
            </w:tcBorders>
            <w:shd w:val="clear" w:color="000000" w:fill="FFFFFF"/>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Subprogramul 01 „Politici şi management în domeniul educației” </w:t>
            </w:r>
            <w:r w:rsidRPr="003D495D">
              <w:rPr>
                <w:rFonts w:ascii="Times New Roman" w:eastAsia="Calibri" w:hAnsi="Times New Roman" w:cs="Times New Roman"/>
                <w:szCs w:val="20"/>
              </w:rPr>
              <w:t>include formularea politicilor pentru toate serviciile educaţionale, activităţile administrative şi de management la nivel central şi local, inclusiv de politici şi planificare, elaborarea bugetului, managementul resurselor, toate activităţile pedagogice şi relaţiile cu alte ministere.</w:t>
            </w:r>
          </w:p>
        </w:tc>
      </w:tr>
      <w:tr w:rsidR="003D495D" w:rsidRPr="003D495D" w:rsidTr="009D346D">
        <w:trPr>
          <w:trHeight w:val="300"/>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Scopul subprogramului: </w:t>
            </w:r>
            <w:r w:rsidRPr="003D495D">
              <w:rPr>
                <w:rFonts w:ascii="Times New Roman" w:eastAsia="Calibri" w:hAnsi="Times New Roman" w:cs="Times New Roman"/>
                <w:szCs w:val="20"/>
              </w:rPr>
              <w:t>Elaborarea politicilor educaţionale.</w:t>
            </w:r>
          </w:p>
        </w:tc>
      </w:tr>
      <w:tr w:rsidR="003D495D" w:rsidRPr="003D495D" w:rsidTr="009D346D">
        <w:trPr>
          <w:trHeight w:val="240"/>
        </w:trPr>
        <w:tc>
          <w:tcPr>
            <w:tcW w:w="3372" w:type="dxa"/>
            <w:tcBorders>
              <w:top w:val="nil"/>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Probleme cheie</w:t>
            </w:r>
          </w:p>
        </w:tc>
        <w:tc>
          <w:tcPr>
            <w:tcW w:w="11039" w:type="dxa"/>
            <w:gridSpan w:val="6"/>
            <w:tcBorders>
              <w:top w:val="nil"/>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A. Acţiuni curente</w:t>
            </w:r>
          </w:p>
        </w:tc>
      </w:tr>
      <w:tr w:rsidR="003D495D" w:rsidRPr="003D495D" w:rsidTr="009D346D">
        <w:trPr>
          <w:trHeight w:val="847"/>
        </w:trPr>
        <w:tc>
          <w:tcPr>
            <w:tcW w:w="3372" w:type="dxa"/>
            <w:vMerge w:val="restart"/>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Capacităţi insuficiente de formulare/planificare/bugetare a politicilor în domeniu</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Fluxul de cadre la nivelul local creează necesități continue în formare și suport în procesul aplicării formulei de finanțare în bază de cost per elev</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Necesitatea continuă de evaluare a progresului elevilor în achiziția competențelor de bază în mod standardizat obiectiv, comparabil cu alte țări (PISA) </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Necesitatea reorganizării învăţămîntului şi reformării instituţiilor  de învăţămînt artistic pentru asigurarea calităţii formării profesioniştilor în domeniu</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Necesitatea de a asigura monitorizarea video a examenelor de bacalaureat în toate centrele, în </w:t>
            </w:r>
            <w:r w:rsidRPr="003D495D">
              <w:rPr>
                <w:rFonts w:ascii="Times New Roman" w:eastAsia="Calibri" w:hAnsi="Times New Roman" w:cs="Times New Roman"/>
                <w:szCs w:val="20"/>
              </w:rPr>
              <w:lastRenderedPageBreak/>
              <w:t>legătură cu creșterea numărului de candidați la sesiunea 2016 în comparație cu sesiunea 2015</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b/>
                <w:bCs/>
                <w:szCs w:val="20"/>
                <w:u w:val="single"/>
              </w:rPr>
              <w:t>B. Obiective de politici pe termen mediu:</w:t>
            </w:r>
            <w:r w:rsidRPr="003D495D">
              <w:rPr>
                <w:rFonts w:ascii="Times New Roman" w:eastAsia="Calibri" w:hAnsi="Times New Roman" w:cs="Times New Roman"/>
                <w:szCs w:val="20"/>
              </w:rPr>
              <w:t xml:space="preserve"> </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Consolidarea capacităţilor administrative, privind elaborarea şi monitorizarea politicilor strategice în sector</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Administrarea activităților de evaluare a randamentului școlar (PISA-testarea internațională a elevilor) în anul 2018</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Elaborarea planului de reformare/restructurare a instituţiilor de învăţămînt artistic</w:t>
            </w:r>
          </w:p>
          <w:p w:rsidR="003D495D" w:rsidRPr="003D495D" w:rsidRDefault="003D495D" w:rsidP="003D495D">
            <w:pPr>
              <w:spacing w:after="0" w:line="240" w:lineRule="auto"/>
              <w:rPr>
                <w:rFonts w:ascii="Times New Roman" w:eastAsia="Calibri" w:hAnsi="Times New Roman" w:cs="Times New Roman"/>
                <w:b/>
                <w:bCs/>
                <w:szCs w:val="20"/>
                <w:u w:val="single"/>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Reorganizarea învăţămîntului artistic pentru asigurarea calităţii formării profesioniştilor în domeniu</w:t>
            </w:r>
          </w:p>
        </w:tc>
        <w:tc>
          <w:tcPr>
            <w:tcW w:w="3601" w:type="dxa"/>
            <w:gridSpan w:val="2"/>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Asigurarea managementului în domeniul învăţămîntului</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Asigurarea managementului Proiectului Reforma învățămîntului în Moldova (PRIM-WB)</w:t>
            </w:r>
          </w:p>
        </w:tc>
        <w:tc>
          <w:tcPr>
            <w:tcW w:w="1789"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Cs/>
                <w:szCs w:val="20"/>
              </w:rPr>
            </w:pPr>
          </w:p>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Cs/>
                <w:szCs w:val="20"/>
              </w:rPr>
            </w:pPr>
          </w:p>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Cs/>
                <w:szCs w:val="20"/>
              </w:rPr>
            </w:pPr>
          </w:p>
          <w:p w:rsidR="003D495D" w:rsidRPr="003D495D" w:rsidRDefault="003D495D" w:rsidP="003D495D">
            <w:pPr>
              <w:spacing w:after="0" w:line="240" w:lineRule="auto"/>
              <w:jc w:val="center"/>
              <w:rPr>
                <w:rFonts w:ascii="Times New Roman" w:eastAsia="Calibri" w:hAnsi="Times New Roman" w:cs="Times New Roman"/>
                <w:bCs/>
                <w:szCs w:val="20"/>
              </w:rPr>
            </w:pPr>
          </w:p>
        </w:tc>
        <w:tc>
          <w:tcPr>
            <w:tcW w:w="2889" w:type="dxa"/>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Raportarea indicatorilor aferenți debursărilor:</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2 indicatori în anul 2017</w:t>
            </w:r>
          </w:p>
        </w:tc>
      </w:tr>
      <w:tr w:rsidR="003D495D" w:rsidRPr="003D495D" w:rsidTr="009D346D">
        <w:trPr>
          <w:trHeight w:val="824"/>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Elaborarea cadrului normativ corespunzător reformei învăţămîntului artistic</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ind w:left="30"/>
              <w:rPr>
                <w:rFonts w:ascii="Times New Roman" w:eastAsia="Calibri" w:hAnsi="Times New Roman" w:cs="Times New Roman"/>
                <w:szCs w:val="20"/>
              </w:rPr>
            </w:pPr>
            <w:r w:rsidRPr="003D495D">
              <w:rPr>
                <w:rFonts w:ascii="Times New Roman" w:eastAsia="Calibri" w:hAnsi="Times New Roman" w:cs="Times New Roman"/>
                <w:szCs w:val="20"/>
              </w:rPr>
              <w:t xml:space="preserve">- Cadru normativ elaborat pînă în anul </w:t>
            </w:r>
            <w:r w:rsidRPr="003D495D">
              <w:rPr>
                <w:rFonts w:ascii="Times New Roman" w:eastAsia="Calibri" w:hAnsi="Times New Roman" w:cs="Times New Roman"/>
                <w:color w:val="FF0000"/>
                <w:szCs w:val="20"/>
              </w:rPr>
              <w:t>2016</w:t>
            </w:r>
          </w:p>
        </w:tc>
      </w:tr>
      <w:tr w:rsidR="003D495D" w:rsidRPr="003D495D" w:rsidTr="009D346D">
        <w:trPr>
          <w:trHeight w:val="1216"/>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Evaluarea capacităţilor de management şi marketing cultural ale administratorilor instituţiilor de învăţămînt artistic</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ind w:left="30"/>
              <w:rPr>
                <w:rFonts w:ascii="Times New Roman" w:eastAsia="Calibri" w:hAnsi="Times New Roman" w:cs="Times New Roman"/>
                <w:szCs w:val="20"/>
              </w:rPr>
            </w:pPr>
            <w:r w:rsidRPr="003D495D">
              <w:rPr>
                <w:rFonts w:ascii="Times New Roman" w:eastAsia="Calibri" w:hAnsi="Times New Roman" w:cs="Times New Roman"/>
                <w:szCs w:val="20"/>
              </w:rPr>
              <w:t xml:space="preserve">- 9 instituţii de învăţămînt artistic evaluate din punct de vedere managerial către </w:t>
            </w:r>
            <w:r w:rsidRPr="003D495D">
              <w:rPr>
                <w:rFonts w:ascii="Times New Roman" w:eastAsia="Calibri" w:hAnsi="Times New Roman" w:cs="Times New Roman"/>
                <w:color w:val="FF0000"/>
                <w:szCs w:val="20"/>
              </w:rPr>
              <w:t>2016</w:t>
            </w:r>
          </w:p>
        </w:tc>
      </w:tr>
      <w:tr w:rsidR="003D495D" w:rsidRPr="003D495D" w:rsidTr="009D346D">
        <w:trPr>
          <w:trHeight w:val="992"/>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color w:val="FF0000"/>
                <w:szCs w:val="20"/>
              </w:rPr>
              <w:t>Acțiuni de pregătire a raportului privind rezultatele PISA 2015 (PRIM-WB)</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color w:val="FF0000"/>
                <w:szCs w:val="20"/>
              </w:rPr>
              <w:t>- Raport final către sfîrsitul anului 2016</w:t>
            </w:r>
          </w:p>
        </w:tc>
      </w:tr>
      <w:tr w:rsidR="003D495D" w:rsidRPr="003D495D" w:rsidTr="009D346D">
        <w:trPr>
          <w:trHeight w:val="407"/>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B. Acţiuni ce duc la o utilizare mai eficientă a resurselor</w:t>
            </w:r>
          </w:p>
        </w:tc>
      </w:tr>
      <w:tr w:rsidR="003D495D" w:rsidRPr="003D495D" w:rsidTr="009D346D">
        <w:trPr>
          <w:trHeight w:val="48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u w:val="single"/>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xml:space="preserve">Estimarea costurilor şi beneficiilor reformei precum şi pregătirea planului de reformare </w:t>
            </w:r>
            <w:r w:rsidRPr="003D495D">
              <w:rPr>
                <w:rFonts w:ascii="Times New Roman" w:eastAsia="Calibri" w:hAnsi="Times New Roman" w:cs="Times New Roman"/>
                <w:szCs w:val="20"/>
              </w:rPr>
              <w:t>a instituţiilor de învăţămînt artistic</w:t>
            </w:r>
            <w:r w:rsidRPr="003D495D">
              <w:rPr>
                <w:rFonts w:ascii="Times New Roman" w:eastAsia="Calibri" w:hAnsi="Times New Roman" w:cs="Times New Roman"/>
                <w:bCs/>
                <w:szCs w:val="20"/>
              </w:rPr>
              <w:t xml:space="preserve"> în baza acestora</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Plan de reformare elaborat</w:t>
            </w:r>
          </w:p>
        </w:tc>
      </w:tr>
      <w:tr w:rsidR="003D495D" w:rsidRPr="003D495D" w:rsidTr="009D346D">
        <w:trPr>
          <w:trHeight w:val="384"/>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 xml:space="preserve">C. Acţiuni noi identificate pentru anii </w:t>
            </w:r>
            <w:r w:rsidRPr="003D495D">
              <w:rPr>
                <w:rFonts w:ascii="Times New Roman" w:eastAsia="Calibri" w:hAnsi="Times New Roman" w:cs="Times New Roman"/>
                <w:b/>
                <w:bCs/>
                <w:sz w:val="24"/>
                <w:szCs w:val="20"/>
                <w:u w:val="single"/>
              </w:rPr>
              <w:t>2016</w:t>
            </w:r>
            <w:r w:rsidRPr="003D495D">
              <w:rPr>
                <w:rFonts w:ascii="Times New Roman" w:eastAsia="Calibri" w:hAnsi="Times New Roman" w:cs="Times New Roman"/>
                <w:b/>
                <w:bCs/>
                <w:szCs w:val="20"/>
                <w:u w:val="single"/>
              </w:rPr>
              <w:t>-2018</w:t>
            </w:r>
          </w:p>
        </w:tc>
      </w:tr>
      <w:tr w:rsidR="003D495D" w:rsidRPr="003D495D" w:rsidTr="009D346D">
        <w:trPr>
          <w:trHeight w:val="72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Elaborarea proiectelor pentru modificarea cadrului legal de remunerare a cadrelor didactice şi de conducere din școli (PRIM - BM)</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w:t>
            </w:r>
            <w:r w:rsidRPr="003D495D">
              <w:rPr>
                <w:rFonts w:ascii="Times New Roman" w:eastAsia="Calibri" w:hAnsi="Times New Roman" w:cs="Times New Roman"/>
                <w:color w:val="FF0000"/>
                <w:szCs w:val="20"/>
              </w:rPr>
              <w:t>Proiect de lege, Hotărîre de Guvern prezentate Guvernului în anul 2016</w:t>
            </w:r>
          </w:p>
        </w:tc>
      </w:tr>
      <w:tr w:rsidR="003D495D" w:rsidRPr="003D495D" w:rsidTr="009D346D">
        <w:trPr>
          <w:trHeight w:val="592"/>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Acțiuni de pregătire pentru evaluarea PISA  pe anul 2018</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Acord de participare la PISA 2018 semnat</w:t>
            </w:r>
          </w:p>
        </w:tc>
      </w:tr>
      <w:tr w:rsidR="003D495D" w:rsidRPr="003D495D" w:rsidTr="009D346D">
        <w:trPr>
          <w:trHeight w:val="14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Managementul lucrărilor civile de reconstrucţie a şcolilor de circumscripţie (PRIM - BM)</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color w:val="FF0000"/>
                <w:szCs w:val="20"/>
              </w:rPr>
            </w:pPr>
            <w:r w:rsidRPr="003D495D">
              <w:rPr>
                <w:rFonts w:ascii="Times New Roman" w:eastAsia="Calibri" w:hAnsi="Times New Roman" w:cs="Times New Roman"/>
                <w:color w:val="FF0000"/>
                <w:szCs w:val="20"/>
              </w:rPr>
              <w:t>Pentru anul 2016:</w:t>
            </w:r>
          </w:p>
          <w:p w:rsidR="003D495D" w:rsidRPr="003D495D" w:rsidRDefault="003D495D" w:rsidP="003D495D">
            <w:pPr>
              <w:numPr>
                <w:ilvl w:val="0"/>
                <w:numId w:val="20"/>
              </w:numPr>
              <w:spacing w:after="0" w:line="240" w:lineRule="auto"/>
              <w:ind w:left="201" w:hanging="218"/>
              <w:rPr>
                <w:rFonts w:ascii="Times New Roman" w:eastAsia="Calibri" w:hAnsi="Times New Roman" w:cs="Times New Roman"/>
                <w:color w:val="FF0000"/>
                <w:szCs w:val="20"/>
              </w:rPr>
            </w:pPr>
            <w:r w:rsidRPr="003D495D">
              <w:rPr>
                <w:rFonts w:ascii="Times New Roman" w:eastAsia="Calibri" w:hAnsi="Times New Roman" w:cs="Times New Roman"/>
                <w:color w:val="FF0000"/>
                <w:szCs w:val="20"/>
              </w:rPr>
              <w:t>administrarea a circa</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color w:val="FF0000"/>
                <w:szCs w:val="20"/>
              </w:rPr>
              <w:t xml:space="preserve">10 contracte de proiectare și 19 contracte de reconstrucție, 19 contracte de supraveghere </w:t>
            </w:r>
            <w:r w:rsidRPr="003D495D">
              <w:rPr>
                <w:rFonts w:ascii="Times New Roman" w:eastAsia="Calibri" w:hAnsi="Times New Roman" w:cs="Times New Roman"/>
                <w:szCs w:val="20"/>
              </w:rPr>
              <w:t>tehnică</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Pentru anul 2017:</w:t>
            </w:r>
          </w:p>
          <w:p w:rsidR="003D495D" w:rsidRPr="003D495D" w:rsidRDefault="003D495D" w:rsidP="003D495D">
            <w:pPr>
              <w:numPr>
                <w:ilvl w:val="0"/>
                <w:numId w:val="20"/>
              </w:numPr>
              <w:spacing w:after="0" w:line="240" w:lineRule="auto"/>
              <w:ind w:left="201" w:hanging="218"/>
              <w:rPr>
                <w:rFonts w:ascii="Times New Roman" w:eastAsia="Calibri" w:hAnsi="Times New Roman" w:cs="Times New Roman"/>
                <w:szCs w:val="20"/>
              </w:rPr>
            </w:pPr>
            <w:r w:rsidRPr="003D495D">
              <w:rPr>
                <w:rFonts w:ascii="Times New Roman" w:eastAsia="Calibri" w:hAnsi="Times New Roman" w:cs="Times New Roman"/>
                <w:szCs w:val="20"/>
              </w:rPr>
              <w:t>administrarea a circa</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10 contracte de reconstrucție, 10 contracte de supraveghere tehnică</w:t>
            </w:r>
          </w:p>
        </w:tc>
      </w:tr>
      <w:tr w:rsidR="003D495D" w:rsidRPr="003D495D" w:rsidTr="009D346D">
        <w:trPr>
          <w:trHeight w:val="563"/>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Monitorizarea implementării procesului de reorganizare a sistemului educaţiei artistice, începînd cu anul 2017</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Raport de monitorizare a procesului de reorganizare elaborat în anul 2017</w:t>
            </w:r>
          </w:p>
        </w:tc>
      </w:tr>
      <w:tr w:rsidR="003D495D" w:rsidRPr="003D495D" w:rsidTr="009D346D">
        <w:trPr>
          <w:trHeight w:val="1462"/>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Securizarea datelor cu caracter personal, necesitatea de a crea condiții mai bune elevilor și de a asigura o evaluare corectă și obiectivă în cadrul examenelor de bacalaureat</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Date cu caracter personal securizate;</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Condiții pentru susținerea examenelor și evaluarea corectă și obiectivă asigurate</w:t>
            </w:r>
          </w:p>
        </w:tc>
      </w:tr>
      <w:tr w:rsidR="003D495D" w:rsidRPr="003D495D" w:rsidTr="009D346D">
        <w:trPr>
          <w:trHeight w:val="1671"/>
        </w:trPr>
        <w:tc>
          <w:tcPr>
            <w:tcW w:w="3372" w:type="dxa"/>
            <w:vMerge/>
            <w:tcBorders>
              <w:left w:val="single" w:sz="4" w:space="0" w:color="auto"/>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nil"/>
              <w:right w:val="single" w:sz="4" w:space="0" w:color="auto"/>
            </w:tcBorders>
          </w:tcPr>
          <w:p w:rsidR="003D495D" w:rsidRPr="003D495D" w:rsidRDefault="003D495D" w:rsidP="003D495D">
            <w:pPr>
              <w:spacing w:after="0" w:line="240" w:lineRule="auto"/>
              <w:ind w:left="23"/>
              <w:rPr>
                <w:rFonts w:ascii="Times New Roman" w:eastAsia="Calibri" w:hAnsi="Times New Roman" w:cs="Times New Roman"/>
                <w:szCs w:val="20"/>
              </w:rPr>
            </w:pPr>
            <w:r w:rsidRPr="003D495D">
              <w:rPr>
                <w:rFonts w:ascii="Times New Roman" w:eastAsia="Calibri" w:hAnsi="Times New Roman" w:cs="Times New Roman"/>
                <w:szCs w:val="20"/>
              </w:rPr>
              <w:t xml:space="preserve">Extinderea Sistemului Informațional al Ministerului Educației pentru a asigura colectarea datelor din învățământul preșcolar, profesional tehnic și superior </w:t>
            </w:r>
          </w:p>
        </w:tc>
        <w:tc>
          <w:tcPr>
            <w:tcW w:w="1789"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Numărul instituțiilor cartografiate la fiecare treaptă de învățămînt</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Sistem integrat cu Registrul de Stat al Populației și alte baze de date relevante</w:t>
            </w:r>
          </w:p>
        </w:tc>
      </w:tr>
      <w:tr w:rsidR="003D495D" w:rsidRPr="003D495D" w:rsidTr="009D346D">
        <w:trPr>
          <w:trHeight w:val="315"/>
        </w:trPr>
        <w:tc>
          <w:tcPr>
            <w:tcW w:w="3372" w:type="dxa"/>
            <w:tcBorders>
              <w:top w:val="single" w:sz="4" w:space="0" w:color="auto"/>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rPr>
                <w:rFonts w:ascii="Times New Roman" w:eastAsia="Calibri" w:hAnsi="Times New Roman" w:cs="Times New Roman"/>
                <w:b/>
                <w:bCs/>
                <w:i/>
                <w:iCs/>
                <w:szCs w:val="20"/>
              </w:rPr>
            </w:pPr>
            <w:r w:rsidRPr="003D495D">
              <w:rPr>
                <w:rFonts w:ascii="Times New Roman" w:eastAsia="Calibri" w:hAnsi="Times New Roman" w:cs="Times New Roman"/>
                <w:b/>
                <w:bCs/>
                <w:i/>
                <w:iCs/>
                <w:szCs w:val="20"/>
              </w:rPr>
              <w:t>Costul subprogramului</w:t>
            </w:r>
          </w:p>
        </w:tc>
        <w:tc>
          <w:tcPr>
            <w:tcW w:w="3601" w:type="dxa"/>
            <w:gridSpan w:val="2"/>
            <w:tcBorders>
              <w:top w:val="single" w:sz="4" w:space="0" w:color="auto"/>
              <w:left w:val="nil"/>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789"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2889" w:type="dxa"/>
            <w:tcBorders>
              <w:top w:val="single" w:sz="4" w:space="0" w:color="auto"/>
              <w:left w:val="nil"/>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szCs w:val="20"/>
              </w:rPr>
            </w:pPr>
          </w:p>
        </w:tc>
      </w:tr>
      <w:tr w:rsidR="003D495D" w:rsidRPr="003D495D" w:rsidTr="009D346D">
        <w:trPr>
          <w:trHeight w:val="765"/>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Subprogramul 02 „Educaţie timpurie” </w:t>
            </w:r>
            <w:r w:rsidRPr="003D495D">
              <w:rPr>
                <w:rFonts w:ascii="Times New Roman" w:eastAsia="Calibri" w:hAnsi="Times New Roman" w:cs="Times New Roman"/>
                <w:szCs w:val="20"/>
              </w:rPr>
              <w:t>include sistemul de instituţii de educație pentru copiii de 3-6(7) ani de diverse tipuri, cu diferite programe de funcţionare, care activează în conformitate cu standardele educaţionale de stat. Toate activităţile ce ţin de organizarea funcţionarii şi întreţinerea instituţiilor preşcolare se efectuează din contul bugetelor şi proiecte de asistenţă tehnică şi investiţionale.</w:t>
            </w:r>
          </w:p>
        </w:tc>
      </w:tr>
      <w:tr w:rsidR="003D495D" w:rsidRPr="003D495D" w:rsidTr="009D346D">
        <w:trPr>
          <w:trHeight w:val="540"/>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Scopul subprogramului: </w:t>
            </w:r>
            <w:r w:rsidRPr="003D495D">
              <w:rPr>
                <w:rFonts w:ascii="Times New Roman" w:eastAsia="Calibri" w:hAnsi="Times New Roman" w:cs="Times New Roman"/>
                <w:szCs w:val="20"/>
              </w:rPr>
              <w:t>Pregătirea multilaterală a copilului pentru viaţă, în vederea integrării în activitatea şcolară, dezvoltarea capacităţilor creative, prin valorificarea potenţialului psihofiziologic şi intelectual al acestuia.</w:t>
            </w:r>
          </w:p>
        </w:tc>
      </w:tr>
      <w:tr w:rsidR="003D495D" w:rsidRPr="003D495D" w:rsidTr="009D346D">
        <w:trPr>
          <w:trHeight w:val="330"/>
        </w:trPr>
        <w:tc>
          <w:tcPr>
            <w:tcW w:w="3372" w:type="dxa"/>
            <w:tcBorders>
              <w:top w:val="nil"/>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Probleme cheie</w:t>
            </w:r>
          </w:p>
        </w:tc>
        <w:tc>
          <w:tcPr>
            <w:tcW w:w="11039" w:type="dxa"/>
            <w:gridSpan w:val="6"/>
            <w:tcBorders>
              <w:top w:val="nil"/>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A. Acţiuni curente</w:t>
            </w:r>
          </w:p>
        </w:tc>
      </w:tr>
      <w:tr w:rsidR="003D495D" w:rsidRPr="003D495D" w:rsidTr="009D346D">
        <w:trPr>
          <w:trHeight w:val="975"/>
        </w:trPr>
        <w:tc>
          <w:tcPr>
            <w:tcW w:w="3372" w:type="dxa"/>
            <w:vMerge w:val="restart"/>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 Nivelul redus al ratei de înrolare a copiilor de 3-5 ani în instituţiile preşcolare, în special, în mediul rural</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Insuficienţa jucăriilor, cărților și materialelor didactice şi deteriorarea bazei tehnico-materiale în instituţiile preşcolare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Accesul insuficient al copiilor cu cerinţe educaţionale speciale (CES) la învăţămîntul preşcolar</w:t>
            </w:r>
          </w:p>
          <w:p w:rsidR="003D495D" w:rsidRPr="003D495D" w:rsidRDefault="003D495D" w:rsidP="003D495D">
            <w:pPr>
              <w:spacing w:after="0" w:line="240" w:lineRule="auto"/>
              <w:rPr>
                <w:rFonts w:ascii="Times New Roman" w:eastAsia="Calibri" w:hAnsi="Times New Roman" w:cs="Times New Roman"/>
                <w:bCs/>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bCs/>
                <w:szCs w:val="20"/>
              </w:rPr>
              <w:t xml:space="preserve">- </w:t>
            </w:r>
            <w:r w:rsidRPr="003D495D">
              <w:rPr>
                <w:rFonts w:ascii="Times New Roman" w:eastAsia="Calibri" w:hAnsi="Times New Roman" w:cs="Times New Roman"/>
                <w:szCs w:val="20"/>
              </w:rPr>
              <w:t>Cadrul normativ insuficient privind asigurarea implementării educaţiei incluzive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Finanţarea instituţiilor preşcolare în baza unei metodologii de finanţare depăşite şi mecanisme rigide de finanţare a educaţiei incluzive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Revitalizarea a circa 300 instituţii preşcolare din mediul rural pînă la sfîrşitul anului 2016 şi consolidarea bazei materiale şi didactice a acestora</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B. Obiective de politici pe termen mediu</w:t>
            </w:r>
          </w:p>
          <w:p w:rsidR="003D495D" w:rsidRPr="003D495D" w:rsidRDefault="003D495D" w:rsidP="003D495D">
            <w:pPr>
              <w:spacing w:after="0" w:line="240" w:lineRule="auto"/>
              <w:rPr>
                <w:rFonts w:ascii="Times New Roman" w:eastAsia="Calibri" w:hAnsi="Times New Roman" w:cs="Times New Roman"/>
                <w:bCs/>
                <w:szCs w:val="20"/>
              </w:rPr>
            </w:pPr>
          </w:p>
          <w:p w:rsidR="003D495D" w:rsidRPr="003D495D" w:rsidRDefault="003D495D" w:rsidP="003D495D">
            <w:pPr>
              <w:spacing w:after="0" w:line="240" w:lineRule="auto"/>
              <w:jc w:val="both"/>
              <w:rPr>
                <w:rFonts w:ascii="Times New Roman" w:eastAsia="Calibri" w:hAnsi="Times New Roman" w:cs="Times New Roman"/>
                <w:szCs w:val="20"/>
              </w:rPr>
            </w:pPr>
            <w:r w:rsidRPr="003D495D">
              <w:rPr>
                <w:rFonts w:ascii="Times New Roman" w:eastAsia="Calibri" w:hAnsi="Times New Roman" w:cs="Times New Roman"/>
                <w:szCs w:val="20"/>
              </w:rPr>
              <w:t xml:space="preserve">- Majorarea în anul </w:t>
            </w:r>
            <w:r w:rsidRPr="003D495D">
              <w:rPr>
                <w:rFonts w:ascii="Times New Roman" w:eastAsia="Calibri" w:hAnsi="Times New Roman" w:cs="Times New Roman"/>
                <w:color w:val="FF0000"/>
                <w:szCs w:val="20"/>
              </w:rPr>
              <w:t>2016 a</w:t>
            </w:r>
            <w:r w:rsidRPr="003D495D">
              <w:rPr>
                <w:rFonts w:ascii="Times New Roman" w:eastAsia="Calibri" w:hAnsi="Times New Roman" w:cs="Times New Roman"/>
                <w:szCs w:val="20"/>
              </w:rPr>
              <w:t xml:space="preserve"> ratei de înrolare în programele preşcolare pînă la 78% pentru copiii cu vîrsta de 3-5 ani şi pînă la 98% pentru copiii de 5-7 ani</w:t>
            </w:r>
          </w:p>
          <w:p w:rsidR="003D495D" w:rsidRPr="003D495D" w:rsidRDefault="003D495D" w:rsidP="003D495D">
            <w:pPr>
              <w:spacing w:after="0" w:line="240" w:lineRule="auto"/>
              <w:jc w:val="both"/>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 Sporirea calităţii educaţiei preşcolare prin activităţi de mentorat</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szCs w:val="20"/>
              </w:rPr>
              <w:t xml:space="preserve">- Elaborarea şi pilotarea unei formule de finanţare noi în anul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w:t>
            </w:r>
            <w:r w:rsidRPr="003D495D">
              <w:rPr>
                <w:rFonts w:ascii="Times New Roman" w:eastAsia="Calibri" w:hAnsi="Times New Roman" w:cs="Times New Roman"/>
                <w:bCs/>
                <w:szCs w:val="20"/>
              </w:rPr>
              <w:t xml:space="preserve"> inclusiv coeficienții grupurilor cu CES pentru facilitarea educaţiei incluzive</w:t>
            </w:r>
          </w:p>
          <w:p w:rsidR="003D495D" w:rsidRPr="003D495D" w:rsidRDefault="003D495D" w:rsidP="003D495D">
            <w:pPr>
              <w:spacing w:after="0" w:line="240" w:lineRule="auto"/>
              <w:rPr>
                <w:rFonts w:ascii="Times New Roman" w:eastAsia="Calibri" w:hAnsi="Times New Roman" w:cs="Times New Roman"/>
                <w:b/>
                <w:bCs/>
                <w:szCs w:val="20"/>
                <w:u w:val="single"/>
              </w:rPr>
            </w:pP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Promovarea şi asigurarea educaţiei incluzive în instituţiile preşcolare prin dezvoltarea serviciilor de educaţie incluzivă</w:t>
            </w:r>
          </w:p>
          <w:p w:rsidR="003D495D" w:rsidRPr="003D495D" w:rsidRDefault="003D495D" w:rsidP="003D495D">
            <w:pPr>
              <w:spacing w:after="0" w:line="240" w:lineRule="auto"/>
              <w:rPr>
                <w:rFonts w:ascii="Times New Roman" w:eastAsia="Calibri" w:hAnsi="Times New Roman" w:cs="Times New Roman"/>
                <w:bCs/>
                <w:szCs w:val="20"/>
              </w:rPr>
            </w:pP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szCs w:val="20"/>
              </w:rPr>
              <w:t>- Armonizarea cadrului normativ naţional de dezvoltare a educaţiei incluzive în vederea asigurării accesului la o educaţie de calitate pentru fiecare copil, inclusiv pentru persoanele cu cerinţe educaţionale speciale</w:t>
            </w: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Susţinerea învăţămîntului preşcolar, inclusiv prin:</w:t>
            </w:r>
          </w:p>
          <w:p w:rsidR="003D495D" w:rsidRPr="003D495D" w:rsidRDefault="003D495D" w:rsidP="003D495D">
            <w:pPr>
              <w:numPr>
                <w:ilvl w:val="0"/>
                <w:numId w:val="20"/>
              </w:numPr>
              <w:spacing w:after="0" w:line="240" w:lineRule="auto"/>
              <w:contextualSpacing/>
              <w:rPr>
                <w:rFonts w:ascii="Times New Roman" w:eastAsia="Calibri" w:hAnsi="Times New Roman" w:cs="Times New Roman"/>
                <w:szCs w:val="20"/>
              </w:rPr>
            </w:pPr>
            <w:r w:rsidRPr="003D495D">
              <w:rPr>
                <w:rFonts w:ascii="Times New Roman" w:eastAsia="Calibri" w:hAnsi="Times New Roman" w:cs="Times New Roman"/>
                <w:szCs w:val="20"/>
              </w:rPr>
              <w:t>asigurarea cu materiale didactice; modernizarea bazei tehnico-materiale a instituţiilor, dezvoltarea reţelei de instituţii etc.</w:t>
            </w:r>
          </w:p>
          <w:p w:rsidR="003D495D" w:rsidRPr="003D495D" w:rsidRDefault="003D495D" w:rsidP="003D495D">
            <w:pPr>
              <w:numPr>
                <w:ilvl w:val="0"/>
                <w:numId w:val="20"/>
              </w:numPr>
              <w:spacing w:after="0" w:line="240" w:lineRule="auto"/>
              <w:contextualSpacing/>
              <w:rPr>
                <w:rFonts w:ascii="Times New Roman" w:eastAsia="Calibri" w:hAnsi="Times New Roman" w:cs="Times New Roman"/>
                <w:szCs w:val="20"/>
              </w:rPr>
            </w:pPr>
            <w:r w:rsidRPr="003D495D">
              <w:rPr>
                <w:rFonts w:ascii="Times New Roman" w:eastAsia="Calibri" w:hAnsi="Times New Roman" w:cs="Times New Roman"/>
                <w:szCs w:val="20"/>
              </w:rPr>
              <w:t xml:space="preserve"> asigurarea programelor de alimentare a copiilor. </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tcPr>
          <w:p w:rsidR="003D495D" w:rsidRPr="003D495D" w:rsidRDefault="003D495D" w:rsidP="003D495D">
            <w:pPr>
              <w:spacing w:after="0" w:line="240" w:lineRule="auto"/>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color w:val="FF0000"/>
                <w:szCs w:val="20"/>
              </w:rPr>
            </w:pPr>
            <w:r w:rsidRPr="003D495D">
              <w:rPr>
                <w:rFonts w:ascii="Times New Roman" w:eastAsia="Calibri" w:hAnsi="Times New Roman" w:cs="Times New Roman"/>
                <w:szCs w:val="20"/>
              </w:rPr>
              <w:t xml:space="preserve">- 98 la sută de copii de vîrsta 5-6 (7) ani, încadraţi în programe educaţionale în anul </w:t>
            </w:r>
            <w:r w:rsidRPr="003D495D">
              <w:rPr>
                <w:rFonts w:ascii="Times New Roman" w:eastAsia="Calibri" w:hAnsi="Times New Roman" w:cs="Times New Roman"/>
                <w:color w:val="FF0000"/>
                <w:szCs w:val="20"/>
              </w:rPr>
              <w:t>2016</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- 78 la sută de copii de vîrsta 3-5 ani, încadraţi în programe educaționale în anul </w:t>
            </w:r>
            <w:r w:rsidRPr="003D495D">
              <w:rPr>
                <w:rFonts w:ascii="Times New Roman" w:eastAsia="Calibri" w:hAnsi="Times New Roman" w:cs="Times New Roman"/>
                <w:color w:val="FF0000"/>
                <w:szCs w:val="20"/>
              </w:rPr>
              <w:t>2016;</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- 100 % de copii alimentaţi anual</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Circa 200 de instituţii preşcolare asigurate cu baza tehnico-materială şi materiale didactice</w:t>
            </w:r>
          </w:p>
        </w:tc>
      </w:tr>
      <w:tr w:rsidR="003D495D" w:rsidRPr="003D495D" w:rsidTr="009D346D">
        <w:trPr>
          <w:trHeight w:val="72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Dezvoltarea serviciilor de educaţie incluzivă în instituţiile preşcolare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- 30 la sută de copii din numărul total evaluaţi anual</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Numărul dosarelor evaluate depuse în termen real cu acordarea categoriei CES corespunzătoare</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- 70 de servicii de suport create către anul 2017</w:t>
            </w: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- 10 la sută din copii cu CES încadraţi anual în învăţămîntul preşcolar</w:t>
            </w:r>
          </w:p>
        </w:tc>
      </w:tr>
      <w:tr w:rsidR="003D495D" w:rsidRPr="003D495D" w:rsidTr="009D346D">
        <w:trPr>
          <w:trHeight w:val="72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Perfecţionarea actelor normative privind implementarea educaţiei inclusive</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Cadru normativ privind copii cu CES elaborat în anul 2017</w:t>
            </w:r>
          </w:p>
        </w:tc>
      </w:tr>
      <w:tr w:rsidR="003D495D" w:rsidRPr="003D495D" w:rsidTr="009D346D">
        <w:trPr>
          <w:trHeight w:val="72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Renovarea și dotarea instituţiilor preşcolare</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Circa 300 de instituţii preşcolare renovate către anul 2018</w:t>
            </w:r>
          </w:p>
        </w:tc>
      </w:tr>
      <w:tr w:rsidR="003D495D" w:rsidRPr="003D495D" w:rsidTr="009D346D">
        <w:trPr>
          <w:trHeight w:val="36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B. Acţiuni ce duc la o utilizare mai eficace şi eficientă a resurselor</w:t>
            </w:r>
          </w:p>
        </w:tc>
      </w:tr>
      <w:tr w:rsidR="003D495D" w:rsidRPr="003D495D" w:rsidTr="009D346D">
        <w:trPr>
          <w:trHeight w:val="96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Elaborarea şi pilotarea mecanismelor noi de finanţare a instituţiilor preşcolare (UNICEF)</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Mecanism nou şi eficient de finanţare a instituţiilor preşcolare elaborat şi pilotat în anul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-2017</w:t>
            </w:r>
          </w:p>
        </w:tc>
      </w:tr>
      <w:tr w:rsidR="003D495D" w:rsidRPr="003D495D" w:rsidTr="009D346D">
        <w:trPr>
          <w:trHeight w:val="381"/>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C. Acţiuni noi identificate pentru anii 2016-2018</w:t>
            </w:r>
          </w:p>
        </w:tc>
      </w:tr>
      <w:tr w:rsidR="003D495D" w:rsidRPr="003D495D" w:rsidTr="009D346D">
        <w:trPr>
          <w:trHeight w:val="839"/>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u w:val="single"/>
              </w:rPr>
            </w:pPr>
          </w:p>
        </w:tc>
        <w:tc>
          <w:tcPr>
            <w:tcW w:w="1789"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r>
      <w:tr w:rsidR="003D495D" w:rsidRPr="003D495D" w:rsidTr="009D346D">
        <w:trPr>
          <w:trHeight w:val="48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szCs w:val="20"/>
              </w:rPr>
              <w:t>Instruirea mentorilor locali de a presta servicii de mentorat de calitate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- 260 mentori locali instruiți</w:t>
            </w:r>
          </w:p>
        </w:tc>
      </w:tr>
      <w:tr w:rsidR="003D495D" w:rsidRPr="003D495D" w:rsidTr="009D346D">
        <w:trPr>
          <w:trHeight w:val="76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Prestarea serviciilor de dezvoltare profesională la locul de muncă (servicii de mentorat)</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Instruirea cadrelor didactice pentru lucrul cu copiii cu dizabilități</w:t>
            </w:r>
          </w:p>
        </w:tc>
        <w:tc>
          <w:tcPr>
            <w:tcW w:w="1789"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- 2000 de cadre didactice mentorate anual</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- 1000 de cadre didactice instruite anual</w:t>
            </w:r>
          </w:p>
        </w:tc>
      </w:tr>
      <w:tr w:rsidR="003D495D" w:rsidRPr="003D495D" w:rsidTr="009D346D">
        <w:trPr>
          <w:trHeight w:val="72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Formarea cadrelor didactice, din comunitate în lucrul cu familia privind educaţia timpurie a copilului</w:t>
            </w:r>
          </w:p>
        </w:tc>
        <w:tc>
          <w:tcPr>
            <w:tcW w:w="1789"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- 1000 de cadre didactice formate anual</w:t>
            </w:r>
          </w:p>
        </w:tc>
      </w:tr>
      <w:tr w:rsidR="003D495D" w:rsidRPr="003D495D" w:rsidTr="009D346D">
        <w:trPr>
          <w:trHeight w:val="48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Majorarea cheltuielilor de personal, conform politicii salariale</w:t>
            </w: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contextualSpacing/>
              <w:rPr>
                <w:rFonts w:ascii="Times New Roman" w:eastAsia="Calibri" w:hAnsi="Times New Roman" w:cs="Times New Roman"/>
                <w:szCs w:val="20"/>
              </w:rPr>
            </w:pPr>
          </w:p>
          <w:p w:rsidR="003D495D" w:rsidRPr="003D495D" w:rsidRDefault="003D495D" w:rsidP="003D495D">
            <w:pPr>
              <w:spacing w:after="0" w:line="240" w:lineRule="auto"/>
              <w:contextualSpacing/>
              <w:rPr>
                <w:rFonts w:ascii="Times New Roman" w:eastAsia="Calibri" w:hAnsi="Times New Roman" w:cs="Times New Roman"/>
                <w:szCs w:val="20"/>
              </w:rPr>
            </w:pPr>
          </w:p>
          <w:p w:rsidR="003D495D" w:rsidRPr="003D495D" w:rsidRDefault="003D495D" w:rsidP="003D495D">
            <w:pPr>
              <w:spacing w:after="0" w:line="240" w:lineRule="auto"/>
              <w:contextualSpacing/>
              <w:rPr>
                <w:rFonts w:ascii="Times New Roman" w:eastAsia="Calibri" w:hAnsi="Times New Roman" w:cs="Times New Roman"/>
                <w:szCs w:val="20"/>
              </w:rPr>
            </w:pPr>
          </w:p>
          <w:p w:rsidR="003D495D" w:rsidRPr="003D495D" w:rsidRDefault="003D495D" w:rsidP="003D495D">
            <w:pPr>
              <w:spacing w:after="0" w:line="240" w:lineRule="auto"/>
              <w:contextualSpacing/>
              <w:rPr>
                <w:rFonts w:ascii="Times New Roman" w:eastAsia="Calibri" w:hAnsi="Times New Roman" w:cs="Times New Roman"/>
                <w:szCs w:val="20"/>
              </w:rPr>
            </w:pPr>
          </w:p>
          <w:p w:rsidR="003D495D" w:rsidRPr="003D495D" w:rsidRDefault="003D495D" w:rsidP="003D495D">
            <w:pPr>
              <w:spacing w:after="0" w:line="240" w:lineRule="auto"/>
              <w:contextualSpacing/>
              <w:rPr>
                <w:rFonts w:ascii="Times New Roman" w:eastAsia="Calibri" w:hAnsi="Times New Roman" w:cs="Times New Roman"/>
                <w:szCs w:val="20"/>
              </w:rPr>
            </w:pPr>
          </w:p>
          <w:p w:rsidR="003D495D" w:rsidRPr="003D495D" w:rsidRDefault="003D495D" w:rsidP="003D495D">
            <w:pPr>
              <w:spacing w:after="0" w:line="240" w:lineRule="auto"/>
              <w:contextualSpacing/>
              <w:rPr>
                <w:rFonts w:ascii="Times New Roman" w:eastAsia="Calibri" w:hAnsi="Times New Roman" w:cs="Times New Roman"/>
                <w:szCs w:val="20"/>
              </w:rPr>
            </w:pPr>
          </w:p>
          <w:p w:rsidR="003D495D" w:rsidRPr="003D495D" w:rsidRDefault="003D495D" w:rsidP="003D495D">
            <w:pPr>
              <w:spacing w:after="0" w:line="240" w:lineRule="auto"/>
              <w:contextualSpacing/>
              <w:rPr>
                <w:rFonts w:ascii="Times New Roman" w:eastAsia="Calibri" w:hAnsi="Times New Roman" w:cs="Times New Roman"/>
                <w:szCs w:val="20"/>
              </w:rPr>
            </w:pPr>
          </w:p>
          <w:p w:rsidR="003D495D" w:rsidRPr="003D495D" w:rsidRDefault="003D495D" w:rsidP="003D495D">
            <w:pPr>
              <w:spacing w:after="0" w:line="240" w:lineRule="auto"/>
              <w:contextualSpacing/>
              <w:rPr>
                <w:rFonts w:ascii="Times New Roman" w:eastAsia="Calibri" w:hAnsi="Times New Roman" w:cs="Times New Roman"/>
                <w:szCs w:val="20"/>
              </w:rPr>
            </w:pPr>
          </w:p>
          <w:p w:rsidR="003D495D" w:rsidRPr="003D495D" w:rsidRDefault="003D495D" w:rsidP="003D495D">
            <w:pPr>
              <w:spacing w:after="0" w:line="240" w:lineRule="auto"/>
              <w:contextualSpacing/>
              <w:rPr>
                <w:rFonts w:ascii="Times New Roman" w:eastAsia="Calibri" w:hAnsi="Times New Roman" w:cs="Times New Roman"/>
              </w:rPr>
            </w:pPr>
            <w:r w:rsidRPr="003D495D">
              <w:rPr>
                <w:rFonts w:ascii="Times New Roman" w:eastAsia="Calibri" w:hAnsi="Times New Roman" w:cs="Times New Roman"/>
                <w:szCs w:val="20"/>
              </w:rPr>
              <w:t xml:space="preserve">- Proiect de lege, Hotărîre de Guvern prezentate Guvernului în anul </w:t>
            </w:r>
            <w:r w:rsidRPr="003D495D">
              <w:rPr>
                <w:rFonts w:ascii="Times New Roman" w:eastAsia="Calibri" w:hAnsi="Times New Roman" w:cs="Times New Roman"/>
                <w:color w:val="FF0000"/>
                <w:szCs w:val="20"/>
              </w:rPr>
              <w:t>2016</w:t>
            </w:r>
          </w:p>
        </w:tc>
      </w:tr>
      <w:tr w:rsidR="003D495D" w:rsidRPr="003D495D" w:rsidTr="009D346D">
        <w:trPr>
          <w:trHeight w:val="240"/>
        </w:trPr>
        <w:tc>
          <w:tcPr>
            <w:tcW w:w="3372" w:type="dxa"/>
            <w:tcBorders>
              <w:top w:val="nil"/>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rPr>
                <w:rFonts w:ascii="Times New Roman" w:eastAsia="Calibri" w:hAnsi="Times New Roman" w:cs="Times New Roman"/>
                <w:b/>
                <w:bCs/>
                <w:i/>
                <w:iCs/>
                <w:szCs w:val="20"/>
              </w:rPr>
            </w:pPr>
            <w:r w:rsidRPr="003D495D">
              <w:rPr>
                <w:rFonts w:ascii="Times New Roman" w:eastAsia="Calibri" w:hAnsi="Times New Roman" w:cs="Times New Roman"/>
                <w:b/>
                <w:bCs/>
                <w:i/>
                <w:iCs/>
                <w:szCs w:val="20"/>
              </w:rPr>
              <w:t>Costul subprogramului</w:t>
            </w:r>
          </w:p>
        </w:tc>
        <w:tc>
          <w:tcPr>
            <w:tcW w:w="3601" w:type="dxa"/>
            <w:gridSpan w:val="2"/>
            <w:tcBorders>
              <w:top w:val="nil"/>
              <w:left w:val="nil"/>
              <w:bottom w:val="nil"/>
              <w:right w:val="nil"/>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789" w:type="dxa"/>
            <w:tcBorders>
              <w:top w:val="nil"/>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nil"/>
              <w:left w:val="nil"/>
              <w:bottom w:val="nil"/>
              <w:right w:val="nil"/>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nil"/>
              <w:left w:val="nil"/>
              <w:bottom w:val="nil"/>
              <w:right w:val="nil"/>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2889" w:type="dxa"/>
            <w:tcBorders>
              <w:top w:val="nil"/>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r>
      <w:tr w:rsidR="003D495D" w:rsidRPr="003D495D" w:rsidTr="009D346D">
        <w:trPr>
          <w:trHeight w:val="810"/>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Subprogramul 03 „Învăţămînt primar” </w:t>
            </w:r>
            <w:r w:rsidRPr="003D495D">
              <w:rPr>
                <w:rFonts w:ascii="Times New Roman" w:eastAsia="Calibri" w:hAnsi="Times New Roman" w:cs="Times New Roman"/>
                <w:szCs w:val="20"/>
              </w:rPr>
              <w:t>include toate activitățile de formare a copilului din clasele I-IV ca personalitate liberă și creativă, de dezvoltare a capacităților intelectuale, a deprinderilor de citit, scris și calcul, asigurînd dezvoltarea aptitudinilor de comunicare și a competențelor fundamentale necesare continuării studiilor de învățămînt gimnazial şi se organizează ca învățămînt de zi în instituțiile de tip Școală primară, şi Școală primară – grădiniță, gimnaziu-grădiniță, claselor primare din cadrul gimnaziilor și liceelor</w:t>
            </w:r>
          </w:p>
        </w:tc>
      </w:tr>
      <w:tr w:rsidR="003D495D" w:rsidRPr="003D495D" w:rsidTr="009D346D">
        <w:trPr>
          <w:trHeight w:val="360"/>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Scopul subprogramului: </w:t>
            </w:r>
            <w:r w:rsidRPr="003D495D">
              <w:rPr>
                <w:rFonts w:ascii="Times New Roman" w:eastAsia="Calibri" w:hAnsi="Times New Roman" w:cs="Times New Roman"/>
                <w:szCs w:val="20"/>
              </w:rPr>
              <w:t>Dezvoltarea competenţelor copiilor, concepute drept nivel definitoriu în formarea personalităţii, orientat către treapta gimnazială de învățămînt</w:t>
            </w:r>
          </w:p>
        </w:tc>
      </w:tr>
      <w:tr w:rsidR="003D495D" w:rsidRPr="003D495D" w:rsidTr="009D346D">
        <w:trPr>
          <w:trHeight w:val="270"/>
        </w:trPr>
        <w:tc>
          <w:tcPr>
            <w:tcW w:w="3372" w:type="dxa"/>
            <w:tcBorders>
              <w:top w:val="nil"/>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Probleme cheie</w:t>
            </w:r>
          </w:p>
        </w:tc>
        <w:tc>
          <w:tcPr>
            <w:tcW w:w="11039" w:type="dxa"/>
            <w:gridSpan w:val="6"/>
            <w:tcBorders>
              <w:top w:val="nil"/>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A. Acţiuni curente</w:t>
            </w:r>
          </w:p>
        </w:tc>
      </w:tr>
      <w:tr w:rsidR="003D495D" w:rsidRPr="003D495D" w:rsidTr="009D346D">
        <w:trPr>
          <w:trHeight w:val="270"/>
        </w:trPr>
        <w:tc>
          <w:tcPr>
            <w:tcW w:w="3372" w:type="dxa"/>
            <w:vMerge w:val="restart"/>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Utilizarea ineficientă a capacităţii de proiect a şcolilor, ca urmare a diminuării contingentului de elevi</w:t>
            </w:r>
          </w:p>
          <w:p w:rsidR="003D495D" w:rsidRPr="003D495D" w:rsidRDefault="003D495D" w:rsidP="003D495D">
            <w:pPr>
              <w:spacing w:after="0" w:line="240" w:lineRule="auto"/>
              <w:rPr>
                <w:rFonts w:ascii="Times New Roman" w:eastAsia="Calibri" w:hAnsi="Times New Roman" w:cs="Times New Roman"/>
                <w:b/>
                <w:bCs/>
                <w:szCs w:val="20"/>
                <w:u w:val="single"/>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 Degradarea fizică a edificiilor şi uzura morală a bazei tehnico-materiale şi didactice a instituţiilor de învăţământ primar, fapt ce influențează negativ calitatea procesului educaţional</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Accesul insuficient al copiilor cu cerinţe educaţionale speciale la învăţămîntul primar</w:t>
            </w:r>
          </w:p>
          <w:p w:rsidR="003D495D" w:rsidRPr="003D495D" w:rsidRDefault="003D495D" w:rsidP="003D495D">
            <w:pPr>
              <w:spacing w:after="0" w:line="240" w:lineRule="auto"/>
              <w:rPr>
                <w:rFonts w:ascii="Times New Roman" w:eastAsia="Calibri" w:hAnsi="Times New Roman" w:cs="Times New Roman"/>
                <w:bCs/>
                <w:szCs w:val="20"/>
              </w:rPr>
            </w:pP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Mecanisme rigide de finanţare a educaţiei incluzive</w:t>
            </w:r>
          </w:p>
          <w:p w:rsidR="003D495D" w:rsidRPr="003D495D" w:rsidRDefault="003D495D" w:rsidP="003D495D">
            <w:pPr>
              <w:spacing w:after="0" w:line="240" w:lineRule="auto"/>
              <w:rPr>
                <w:rFonts w:ascii="Times New Roman" w:eastAsia="Calibri" w:hAnsi="Times New Roman" w:cs="Times New Roman"/>
                <w:bCs/>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Cadrul normativ insuficient privind asigurarea implementării educaţiei incluzive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Insuficienţa echipamentului şi soft-urilor educaţionale necesare pentru asigurarea calității procesului de predare-învăţare-evaluare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B. Obiective de politici pe termen mediu</w:t>
            </w:r>
          </w:p>
          <w:p w:rsidR="003D495D" w:rsidRPr="003D495D" w:rsidRDefault="003D495D" w:rsidP="003D495D">
            <w:pPr>
              <w:spacing w:after="0" w:line="240" w:lineRule="auto"/>
              <w:rPr>
                <w:rFonts w:ascii="Times New Roman" w:eastAsia="Calibri" w:hAnsi="Times New Roman" w:cs="Times New Roman"/>
                <w:bCs/>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Armonizarea cadrului normativ naţional de dezvoltare a educaţiei incluzive în vederea asigurării accesului la o educaţie de calitate pentru fiecare copil, inclusiv pentru persoanele cu cerinţe educaţionale speciale</w:t>
            </w: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Promovarea şi asigurarea educaţiei incluzive la nivel de sistem educaţional prin creşterea anuală cu cel puţin 10% a accesului elevilor cu CES la învăţămîntul primar</w:t>
            </w: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Cs/>
                <w:szCs w:val="20"/>
              </w:rPr>
              <w:lastRenderedPageBreak/>
              <w:t>- Ajustarea formulei de finanţare per elev, inclusiv coeficienţii grupurilor cu CES pentru facilitarea educaţiei incluzive</w:t>
            </w:r>
          </w:p>
        </w:tc>
        <w:tc>
          <w:tcPr>
            <w:tcW w:w="3528"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Asigurarea activităţii continue a şcolilor primare şi școlilor primare – grădinițe, gimnaziilor-grădinițe, claselor primare din cadrul gimnaziilor și liceelor, inclusiv:</w:t>
            </w:r>
          </w:p>
        </w:tc>
        <w:tc>
          <w:tcPr>
            <w:tcW w:w="1862"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- 94,0 la sută de elevi încadraţi anual în învăţămîntul primar </w:t>
            </w:r>
          </w:p>
        </w:tc>
      </w:tr>
      <w:tr w:rsidR="003D495D" w:rsidRPr="003D495D" w:rsidTr="009D346D">
        <w:trPr>
          <w:trHeight w:val="1401"/>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528" w:type="dxa"/>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consolidarea bazei tehnico-materiale a școlilor primare, școlilor primare - grădinițe, gimnaziilor-grădinițe, claselor primare din cadrul gimnaziilor și liceelor;</w:t>
            </w:r>
          </w:p>
        </w:tc>
        <w:tc>
          <w:tcPr>
            <w:tcW w:w="1862" w:type="dxa"/>
            <w:gridSpan w:val="2"/>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right w:val="single" w:sz="4" w:space="0" w:color="auto"/>
            </w:tcBorders>
          </w:tcPr>
          <w:p w:rsidR="003D495D" w:rsidRPr="003D495D" w:rsidRDefault="003D495D" w:rsidP="003D495D">
            <w:pPr>
              <w:spacing w:after="0" w:line="240" w:lineRule="auto"/>
              <w:contextualSpacing/>
              <w:rPr>
                <w:rFonts w:ascii="Times New Roman" w:eastAsia="Calibri" w:hAnsi="Times New Roman" w:cs="Times New Roman"/>
              </w:rPr>
            </w:pPr>
            <w:r w:rsidRPr="003D495D">
              <w:rPr>
                <w:rFonts w:ascii="Times New Roman" w:eastAsia="Calibri" w:hAnsi="Times New Roman" w:cs="Times New Roman"/>
              </w:rPr>
              <w:t xml:space="preserve">- 10 </w:t>
            </w:r>
            <w:r w:rsidRPr="003D495D">
              <w:rPr>
                <w:rFonts w:ascii="Times New Roman" w:eastAsia="Calibri" w:hAnsi="Times New Roman" w:cs="Times New Roman"/>
                <w:szCs w:val="20"/>
              </w:rPr>
              <w:t xml:space="preserve">la sută </w:t>
            </w:r>
            <w:r w:rsidRPr="003D495D">
              <w:rPr>
                <w:rFonts w:ascii="Times New Roman" w:eastAsia="Calibri" w:hAnsi="Times New Roman" w:cs="Times New Roman"/>
              </w:rPr>
              <w:t>din şcoli cu baza tehnico-materială renovată, corespunzător în anii 2017, 2018, 2019</w:t>
            </w:r>
          </w:p>
        </w:tc>
      </w:tr>
      <w:tr w:rsidR="003D495D" w:rsidRPr="003D495D" w:rsidTr="009D346D">
        <w:trPr>
          <w:trHeight w:val="854"/>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528"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asigurarea programelor de alimentare;</w:t>
            </w:r>
          </w:p>
        </w:tc>
        <w:tc>
          <w:tcPr>
            <w:tcW w:w="1862"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rPr>
            </w:pPr>
            <w:r w:rsidRPr="003D495D">
              <w:rPr>
                <w:rFonts w:ascii="Times New Roman" w:eastAsia="Calibri" w:hAnsi="Times New Roman" w:cs="Times New Roman"/>
              </w:rPr>
              <w:t>- 100% de elevi din clasele I-IV, incluşi în programele de alimentare</w:t>
            </w:r>
          </w:p>
        </w:tc>
      </w:tr>
      <w:tr w:rsidR="003D495D" w:rsidRPr="003D495D" w:rsidTr="009D346D">
        <w:trPr>
          <w:trHeight w:val="276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528"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dezvoltarea serviciilor de educaţie incluzivă în instituţiile din învăţămîntul primar;</w:t>
            </w:r>
          </w:p>
        </w:tc>
        <w:tc>
          <w:tcPr>
            <w:tcW w:w="1862"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- 30 la sută din numărul de elevi cl. I-IV evaluaţi;</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Numărul dosarelor evaluate depuse în termen real cu acordarea categoriei CES corespunzătoare;</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- 50 de servicii de suport  create; </w:t>
            </w:r>
          </w:p>
          <w:p w:rsidR="003D495D" w:rsidRPr="003D495D" w:rsidRDefault="003D495D" w:rsidP="003D495D">
            <w:pPr>
              <w:spacing w:after="0" w:line="240" w:lineRule="auto"/>
              <w:contextualSpacing/>
              <w:rPr>
                <w:rFonts w:ascii="Times New Roman" w:eastAsia="Calibri" w:hAnsi="Times New Roman" w:cs="Times New Roman"/>
                <w:szCs w:val="20"/>
              </w:rPr>
            </w:pPr>
            <w:r w:rsidRPr="003D495D">
              <w:rPr>
                <w:rFonts w:ascii="Times New Roman" w:eastAsia="Calibri" w:hAnsi="Times New Roman" w:cs="Times New Roman"/>
                <w:bCs/>
                <w:szCs w:val="20"/>
              </w:rPr>
              <w:t>- 10 la sută din copii cu CES încadraţi în învăţămîntul primar anual</w:t>
            </w:r>
          </w:p>
        </w:tc>
      </w:tr>
      <w:tr w:rsidR="003D495D" w:rsidRPr="003D495D" w:rsidTr="009D346D">
        <w:trPr>
          <w:trHeight w:val="767"/>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528"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szCs w:val="20"/>
              </w:rPr>
              <w:t>- asigurarea continuă cu echipament TIC a instituțiilor de învățămînt primar</w:t>
            </w:r>
          </w:p>
        </w:tc>
        <w:tc>
          <w:tcPr>
            <w:tcW w:w="1862" w:type="dxa"/>
            <w:gridSpan w:val="2"/>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nil"/>
              <w:right w:val="single" w:sz="4" w:space="0" w:color="auto"/>
            </w:tcBorders>
          </w:tcPr>
          <w:p w:rsidR="003D495D" w:rsidRPr="003D495D" w:rsidRDefault="003D495D" w:rsidP="003D495D">
            <w:pPr>
              <w:spacing w:after="0" w:line="240" w:lineRule="auto"/>
              <w:contextualSpacing/>
              <w:rPr>
                <w:rFonts w:ascii="Times New Roman" w:eastAsia="Calibri" w:hAnsi="Times New Roman" w:cs="Times New Roman"/>
                <w:szCs w:val="20"/>
              </w:rPr>
            </w:pPr>
            <w:r w:rsidRPr="003D495D">
              <w:rPr>
                <w:rFonts w:ascii="Times New Roman" w:eastAsia="Calibri" w:hAnsi="Times New Roman" w:cs="Times New Roman"/>
              </w:rPr>
              <w:t xml:space="preserve">- 16, 14, 12 elevi per computer, corespunzător în anii </w:t>
            </w:r>
            <w:r w:rsidRPr="003D495D">
              <w:rPr>
                <w:rFonts w:ascii="Times New Roman" w:eastAsia="Calibri" w:hAnsi="Times New Roman" w:cs="Times New Roman"/>
                <w:color w:val="FF0000"/>
              </w:rPr>
              <w:t>2016,</w:t>
            </w:r>
            <w:r w:rsidRPr="003D495D">
              <w:rPr>
                <w:rFonts w:ascii="Times New Roman" w:eastAsia="Calibri" w:hAnsi="Times New Roman" w:cs="Times New Roman"/>
              </w:rPr>
              <w:t xml:space="preserve"> 2017, 2018, 2019</w:t>
            </w:r>
          </w:p>
        </w:tc>
      </w:tr>
      <w:tr w:rsidR="003D495D" w:rsidRPr="003D495D" w:rsidTr="009D346D">
        <w:trPr>
          <w:trHeight w:val="786"/>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528"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Perfecţionarea actelor normative privind implementarea educaţiei incluzive</w:t>
            </w:r>
          </w:p>
        </w:tc>
        <w:tc>
          <w:tcPr>
            <w:tcW w:w="1862"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Cadru normativ privind copii cu CES elaborat</w:t>
            </w:r>
          </w:p>
        </w:tc>
      </w:tr>
      <w:tr w:rsidR="003D495D" w:rsidRPr="003D495D" w:rsidTr="009D346D">
        <w:trPr>
          <w:trHeight w:val="432"/>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Cs/>
                <w:szCs w:val="20"/>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B. Acţiuni ce duc la o utilizare mai eficace şi eficientă a resurselor</w:t>
            </w:r>
          </w:p>
        </w:tc>
      </w:tr>
      <w:tr w:rsidR="003D495D" w:rsidRPr="003D495D" w:rsidTr="009D346D">
        <w:trPr>
          <w:trHeight w:val="114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Cs/>
                <w:szCs w:val="20"/>
              </w:rPr>
            </w:pPr>
          </w:p>
        </w:tc>
        <w:tc>
          <w:tcPr>
            <w:tcW w:w="3528" w:type="dxa"/>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szCs w:val="20"/>
              </w:rPr>
              <w:t>Reorganizarea școlilor primare</w:t>
            </w:r>
          </w:p>
        </w:tc>
        <w:tc>
          <w:tcPr>
            <w:tcW w:w="1862" w:type="dxa"/>
            <w:gridSpan w:val="2"/>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- 5 la sută anual din instituţii de învăţămînt primar, optimizate şi reorganizate</w:t>
            </w:r>
          </w:p>
        </w:tc>
      </w:tr>
      <w:tr w:rsidR="003D495D" w:rsidRPr="003D495D" w:rsidTr="009D346D">
        <w:trPr>
          <w:trHeight w:val="723"/>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528"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rPr>
            </w:pPr>
          </w:p>
          <w:p w:rsidR="003D495D" w:rsidRPr="003D495D" w:rsidRDefault="003D495D" w:rsidP="003D495D">
            <w:pPr>
              <w:spacing w:after="0" w:line="240" w:lineRule="auto"/>
              <w:rPr>
                <w:rFonts w:ascii="Times New Roman" w:eastAsia="Calibri" w:hAnsi="Times New Roman" w:cs="Times New Roman"/>
              </w:rPr>
            </w:pPr>
          </w:p>
          <w:p w:rsidR="003D495D" w:rsidRPr="003D495D" w:rsidRDefault="003D495D" w:rsidP="003D495D">
            <w:pPr>
              <w:spacing w:after="0" w:line="240" w:lineRule="auto"/>
              <w:rPr>
                <w:rFonts w:ascii="Times New Roman" w:eastAsia="Calibri" w:hAnsi="Times New Roman" w:cs="Times New Roman"/>
              </w:rPr>
            </w:pPr>
            <w:r w:rsidRPr="003D495D">
              <w:rPr>
                <w:rFonts w:ascii="Times New Roman" w:eastAsia="Calibri" w:hAnsi="Times New Roman" w:cs="Times New Roman"/>
              </w:rPr>
              <w:t>Elaborarea coeficienților de finanțare pentru tipurile de grupuri CES</w:t>
            </w:r>
          </w:p>
        </w:tc>
        <w:tc>
          <w:tcPr>
            <w:tcW w:w="18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Coeficienți elaborați la sfîrșitul anului </w:t>
            </w:r>
            <w:r w:rsidRPr="003D495D">
              <w:rPr>
                <w:rFonts w:ascii="Times New Roman" w:eastAsia="Calibri" w:hAnsi="Times New Roman" w:cs="Times New Roman"/>
                <w:color w:val="FF0000"/>
                <w:szCs w:val="20"/>
              </w:rPr>
              <w:t>2016</w:t>
            </w:r>
          </w:p>
        </w:tc>
      </w:tr>
      <w:tr w:rsidR="003D495D" w:rsidRPr="003D495D" w:rsidTr="009D346D">
        <w:trPr>
          <w:trHeight w:val="78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528"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rPr>
            </w:pPr>
          </w:p>
          <w:p w:rsidR="003D495D" w:rsidRPr="003D495D" w:rsidRDefault="003D495D" w:rsidP="003D495D">
            <w:pPr>
              <w:spacing w:after="0" w:line="240" w:lineRule="auto"/>
              <w:rPr>
                <w:rFonts w:ascii="Times New Roman" w:eastAsia="Calibri" w:hAnsi="Times New Roman" w:cs="Times New Roman"/>
              </w:rPr>
            </w:pPr>
          </w:p>
          <w:p w:rsidR="003D495D" w:rsidRPr="003D495D" w:rsidRDefault="003D495D" w:rsidP="003D495D">
            <w:pPr>
              <w:spacing w:after="0" w:line="240" w:lineRule="auto"/>
              <w:rPr>
                <w:rFonts w:ascii="Times New Roman" w:eastAsia="Calibri" w:hAnsi="Times New Roman" w:cs="Times New Roman"/>
              </w:rPr>
            </w:pPr>
            <w:r w:rsidRPr="003D495D">
              <w:rPr>
                <w:rFonts w:ascii="Times New Roman" w:eastAsia="Calibri" w:hAnsi="Times New Roman" w:cs="Times New Roman"/>
              </w:rPr>
              <w:t xml:space="preserve">Ajustarea formulei de finanțare reieșind din necesitățile educației incluzive </w:t>
            </w:r>
          </w:p>
        </w:tc>
        <w:tc>
          <w:tcPr>
            <w:tcW w:w="18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Proiect elaborat în 2017</w:t>
            </w:r>
          </w:p>
        </w:tc>
      </w:tr>
      <w:tr w:rsidR="003D495D" w:rsidRPr="003D495D" w:rsidTr="009D346D">
        <w:trPr>
          <w:trHeight w:val="301"/>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u w:val="single"/>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C. Acţiuni noi identificate pentru anii 2016-2018</w:t>
            </w:r>
          </w:p>
        </w:tc>
      </w:tr>
      <w:tr w:rsidR="003D495D" w:rsidRPr="003D495D" w:rsidTr="009D346D">
        <w:trPr>
          <w:trHeight w:val="88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u w:val="single"/>
              </w:rPr>
            </w:pPr>
          </w:p>
        </w:tc>
        <w:tc>
          <w:tcPr>
            <w:tcW w:w="3528"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szCs w:val="20"/>
              </w:rPr>
              <w:t>Majorarea cheltuielilor de personal, conform politicii salariale</w:t>
            </w:r>
          </w:p>
        </w:tc>
        <w:tc>
          <w:tcPr>
            <w:tcW w:w="18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Proiect de lege, Hotărîre de Guvern prezentate Guvernului în anul </w:t>
            </w:r>
            <w:r w:rsidRPr="003D495D">
              <w:rPr>
                <w:rFonts w:ascii="Times New Roman" w:eastAsia="Calibri" w:hAnsi="Times New Roman" w:cs="Times New Roman"/>
                <w:color w:val="FF0000"/>
                <w:szCs w:val="20"/>
              </w:rPr>
              <w:t>2016</w:t>
            </w:r>
          </w:p>
        </w:tc>
      </w:tr>
      <w:tr w:rsidR="003D495D" w:rsidRPr="003D495D" w:rsidTr="009D346D">
        <w:trPr>
          <w:trHeight w:val="240"/>
        </w:trPr>
        <w:tc>
          <w:tcPr>
            <w:tcW w:w="3372" w:type="dxa"/>
            <w:tcBorders>
              <w:top w:val="single" w:sz="4" w:space="0" w:color="auto"/>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rPr>
                <w:rFonts w:ascii="Times New Roman" w:eastAsia="Calibri" w:hAnsi="Times New Roman" w:cs="Times New Roman"/>
                <w:b/>
                <w:bCs/>
                <w:i/>
                <w:iCs/>
                <w:szCs w:val="20"/>
              </w:rPr>
            </w:pPr>
            <w:r w:rsidRPr="003D495D">
              <w:rPr>
                <w:rFonts w:ascii="Times New Roman" w:eastAsia="Calibri" w:hAnsi="Times New Roman" w:cs="Times New Roman"/>
                <w:b/>
                <w:bCs/>
                <w:i/>
                <w:iCs/>
                <w:szCs w:val="20"/>
              </w:rPr>
              <w:t>Costul subprogramului</w:t>
            </w:r>
          </w:p>
        </w:tc>
        <w:tc>
          <w:tcPr>
            <w:tcW w:w="3528" w:type="dxa"/>
            <w:tcBorders>
              <w:top w:val="single" w:sz="4" w:space="0" w:color="auto"/>
              <w:left w:val="single" w:sz="4" w:space="0" w:color="auto"/>
              <w:bottom w:val="single" w:sz="4" w:space="0" w:color="auto"/>
              <w:right w:val="nil"/>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i/>
                <w:iCs/>
                <w:szCs w:val="20"/>
                <w:u w:val="single"/>
              </w:rPr>
            </w:pPr>
          </w:p>
        </w:tc>
        <w:tc>
          <w:tcPr>
            <w:tcW w:w="1862" w:type="dxa"/>
            <w:gridSpan w:val="2"/>
            <w:tcBorders>
              <w:top w:val="single" w:sz="4" w:space="0" w:color="auto"/>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nil"/>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2889"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i/>
                <w:iCs/>
                <w:szCs w:val="20"/>
                <w:u w:val="single"/>
              </w:rPr>
            </w:pPr>
          </w:p>
        </w:tc>
      </w:tr>
      <w:tr w:rsidR="003D495D" w:rsidRPr="003D495D" w:rsidTr="009D346D">
        <w:trPr>
          <w:trHeight w:val="270"/>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Subprogramul 04 „Învăţămînt gimnazial” </w:t>
            </w:r>
            <w:r w:rsidRPr="003D495D">
              <w:rPr>
                <w:rFonts w:ascii="Times New Roman" w:eastAsia="Calibri" w:hAnsi="Times New Roman" w:cs="Times New Roman"/>
                <w:szCs w:val="20"/>
              </w:rPr>
              <w:t>include activitățile ce țin de organizarea procesului de instruire în clasele gimnaziale (V-IX) și de întreținere a instituțiilor respective</w:t>
            </w:r>
          </w:p>
        </w:tc>
      </w:tr>
      <w:tr w:rsidR="003D495D" w:rsidRPr="003D495D" w:rsidTr="009D346D">
        <w:trPr>
          <w:trHeight w:val="330"/>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Scopul subprogramului: </w:t>
            </w:r>
            <w:r w:rsidRPr="003D495D">
              <w:rPr>
                <w:rFonts w:ascii="Times New Roman" w:eastAsia="Calibri" w:hAnsi="Times New Roman" w:cs="Times New Roman"/>
                <w:szCs w:val="20"/>
              </w:rPr>
              <w:t>Dezvoltarea competenţelor elevilor concepute drept nivel definitoriu în formarea personalității orientate către următoarea treaptă de școlaritate.</w:t>
            </w:r>
          </w:p>
        </w:tc>
      </w:tr>
      <w:tr w:rsidR="003D495D" w:rsidRPr="003D495D" w:rsidTr="009D346D">
        <w:trPr>
          <w:trHeight w:val="300"/>
        </w:trPr>
        <w:tc>
          <w:tcPr>
            <w:tcW w:w="3372" w:type="dxa"/>
            <w:tcBorders>
              <w:top w:val="nil"/>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Probleme cheie</w:t>
            </w:r>
          </w:p>
        </w:tc>
        <w:tc>
          <w:tcPr>
            <w:tcW w:w="11039" w:type="dxa"/>
            <w:gridSpan w:val="6"/>
            <w:tcBorders>
              <w:top w:val="nil"/>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A. Acţiuni curente</w:t>
            </w:r>
          </w:p>
        </w:tc>
      </w:tr>
      <w:tr w:rsidR="003D495D" w:rsidRPr="003D495D" w:rsidTr="009D346D">
        <w:trPr>
          <w:trHeight w:val="847"/>
        </w:trPr>
        <w:tc>
          <w:tcPr>
            <w:tcW w:w="3372" w:type="dxa"/>
            <w:vMerge w:val="restart"/>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Utilizarea ineficientă a capacităţii de proiect a şcolilor, ca urmare a diminuării contingentului de elevi </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Asigurarea insuficientă a transportării elevilor la școlile de circumscripție limitează accesul copiilor la educație de calitate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Degradarea fizică a edificiilor şi uzura morală a bazei tehnico-materiale şi didactice a instituţiilor de învăţământ, fapt ce influenţează negativ calitatea procesului educaţional</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Mecanisme rigide de finanţare a educaţiei incluzive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Cadrul normativ insuficient privind asigurarea implementării educaţiei incluzive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Accesul insuficient al copiilor cu cerinţe educaţionale speciale la învăţămîntul gimnazial</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 Insuficienţa echipamentului şi soft-urilor educaţionale necesare pentru asigurarea calității procesului de predare-învăţare-evaluare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Implementarea Standardelor de asigurare a calităţii pentru şcolile de circumscripţie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B. Obiective de politici pe termen mediu</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Armonizarea cadrului normativ naţional de dezvoltare a educaţiei incluzive în vederea asigurării accesului la o educaţie de calitate pentru fiecare copil, inclusiv pentru persoanele cu cerinţe educaţionale speciale</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Ajustarea reţelei şcolare la schimbările demografice</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Asigurarea transportării tuturor elevilor care învaţă în altă localitate</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Dotarea cu echipament TIC şi implementarea soft-urilor educaţionale în procesul predării -învățării -evaluării la 50% discipline în 15 instituții  la nivelul unei clase anual</w:t>
            </w: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Promovarea şi asigurarea educaţiei incluzive la nivel de sistem educaţional</w:t>
            </w: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lastRenderedPageBreak/>
              <w:t>- Creşterea anuală cu cel puţin 10% a accesului copiilor cu cerinţe educaţionale speciale (CES) la învăţămîntul gimnazial</w:t>
            </w: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Cs/>
                <w:szCs w:val="20"/>
              </w:rPr>
              <w:t>- Ajustarea formulei de finanţare per elev, inclusiv coeficienţii grupurilor cu CES pentru facilitarea educaţiei incluzive</w:t>
            </w:r>
          </w:p>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before="20" w:after="0" w:line="240" w:lineRule="auto"/>
              <w:rPr>
                <w:rFonts w:ascii="Times New Roman" w:eastAsia="Calibri" w:hAnsi="Times New Roman" w:cs="Times New Roman"/>
              </w:rPr>
            </w:pPr>
            <w:r w:rsidRPr="003D495D">
              <w:rPr>
                <w:rFonts w:ascii="Times New Roman" w:eastAsia="Calibri" w:hAnsi="Times New Roman" w:cs="Times New Roman"/>
                <w:sz w:val="24"/>
                <w:szCs w:val="24"/>
              </w:rPr>
              <w:lastRenderedPageBreak/>
              <w:t>Asigurarea activităţii continue a gimnaziilor</w:t>
            </w:r>
            <w:r w:rsidRPr="003D495D">
              <w:rPr>
                <w:rFonts w:ascii="Times New Roman" w:eastAsia="Calibri" w:hAnsi="Times New Roman" w:cs="Times New Roman"/>
              </w:rPr>
              <w:t>, inclusiv:</w:t>
            </w:r>
          </w:p>
        </w:tc>
        <w:tc>
          <w:tcPr>
            <w:tcW w:w="1789"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- 89,0 la sută de elevi încadraţi în învăţămîntul gimnazial anual</w:t>
            </w:r>
          </w:p>
        </w:tc>
      </w:tr>
      <w:tr w:rsidR="003D495D" w:rsidRPr="003D495D" w:rsidTr="009D346D">
        <w:trPr>
          <w:trHeight w:val="78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before="20" w:after="0" w:line="240" w:lineRule="auto"/>
              <w:rPr>
                <w:rFonts w:ascii="Times New Roman" w:eastAsia="Calibri" w:hAnsi="Times New Roman" w:cs="Times New Roman"/>
              </w:rPr>
            </w:pPr>
          </w:p>
          <w:p w:rsidR="003D495D" w:rsidRPr="003D495D" w:rsidRDefault="003D495D" w:rsidP="003D495D">
            <w:pPr>
              <w:numPr>
                <w:ilvl w:val="0"/>
                <w:numId w:val="18"/>
              </w:numPr>
              <w:tabs>
                <w:tab w:val="num" w:pos="557"/>
              </w:tabs>
              <w:spacing w:before="20" w:after="0" w:line="240" w:lineRule="auto"/>
              <w:ind w:left="557" w:hanging="284"/>
              <w:rPr>
                <w:rFonts w:ascii="Times New Roman" w:eastAsia="Calibri" w:hAnsi="Times New Roman" w:cs="Times New Roman"/>
              </w:rPr>
            </w:pPr>
            <w:r w:rsidRPr="003D495D">
              <w:rPr>
                <w:rFonts w:ascii="Times New Roman" w:eastAsia="Calibri" w:hAnsi="Times New Roman" w:cs="Times New Roman"/>
              </w:rPr>
              <w:t xml:space="preserve">asigurarea cu transport </w:t>
            </w:r>
            <w:r w:rsidRPr="003D495D">
              <w:rPr>
                <w:rFonts w:ascii="Times New Roman" w:eastAsia="Times New Roman" w:hAnsi="Times New Roman" w:cs="Times New Roman"/>
              </w:rPr>
              <w:t>ș</w:t>
            </w:r>
            <w:r w:rsidRPr="003D495D">
              <w:rPr>
                <w:rFonts w:ascii="Times New Roman" w:eastAsia="Calibri" w:hAnsi="Times New Roman" w:cs="Times New Roman"/>
              </w:rPr>
              <w:t>colar a elevilor;</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- 99,0 la sută de elevi care necesită transportare, asiguraţi cu transport şcolar anual</w:t>
            </w:r>
          </w:p>
        </w:tc>
      </w:tr>
      <w:tr w:rsidR="003D495D" w:rsidRPr="003D495D" w:rsidTr="009D346D">
        <w:trPr>
          <w:trHeight w:val="78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numPr>
                <w:ilvl w:val="0"/>
                <w:numId w:val="18"/>
              </w:numPr>
              <w:tabs>
                <w:tab w:val="num" w:pos="557"/>
              </w:tabs>
              <w:spacing w:before="20" w:after="0" w:line="240" w:lineRule="auto"/>
              <w:ind w:left="557" w:hanging="284"/>
              <w:jc w:val="both"/>
              <w:rPr>
                <w:rFonts w:ascii="Times New Roman" w:eastAsia="Calibri" w:hAnsi="Times New Roman" w:cs="Times New Roman"/>
              </w:rPr>
            </w:pPr>
            <w:r w:rsidRPr="003D495D">
              <w:rPr>
                <w:rFonts w:ascii="Times New Roman" w:eastAsia="Calibri" w:hAnsi="Times New Roman" w:cs="Times New Roman"/>
              </w:rPr>
              <w:t>consolidarea şi dezvoltarea bazei tehnico-materiale a instituţiilor;</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Numărul de instituții cu baza tehnico-materiala consolidată și dezvoltată</w:t>
            </w:r>
          </w:p>
        </w:tc>
      </w:tr>
      <w:tr w:rsidR="003D495D" w:rsidRPr="003D495D" w:rsidTr="009D346D">
        <w:trPr>
          <w:trHeight w:val="1343"/>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right w:val="single" w:sz="4" w:space="0" w:color="auto"/>
            </w:tcBorders>
          </w:tcPr>
          <w:p w:rsidR="003D495D" w:rsidRPr="003D495D" w:rsidRDefault="003D495D" w:rsidP="003D495D">
            <w:pPr>
              <w:spacing w:before="20" w:after="0" w:line="240" w:lineRule="auto"/>
              <w:ind w:left="360"/>
              <w:jc w:val="both"/>
              <w:rPr>
                <w:rFonts w:ascii="Times New Roman" w:eastAsia="Calibri" w:hAnsi="Times New Roman" w:cs="Times New Roman"/>
              </w:rPr>
            </w:pPr>
          </w:p>
          <w:p w:rsidR="003D495D" w:rsidRPr="003D495D" w:rsidRDefault="003D495D" w:rsidP="003D495D">
            <w:pPr>
              <w:numPr>
                <w:ilvl w:val="0"/>
                <w:numId w:val="18"/>
              </w:numPr>
              <w:tabs>
                <w:tab w:val="num" w:pos="557"/>
              </w:tabs>
              <w:spacing w:before="20" w:after="0" w:line="240" w:lineRule="auto"/>
              <w:ind w:left="557" w:hanging="284"/>
              <w:jc w:val="both"/>
              <w:rPr>
                <w:rFonts w:ascii="Times New Roman" w:eastAsia="Calibri" w:hAnsi="Times New Roman" w:cs="Times New Roman"/>
              </w:rPr>
            </w:pPr>
            <w:r w:rsidRPr="003D495D">
              <w:rPr>
                <w:rFonts w:ascii="Times New Roman" w:eastAsia="Calibri" w:hAnsi="Times New Roman" w:cs="Times New Roman"/>
              </w:rPr>
              <w:t xml:space="preserve"> asigurarea programelor de alimentare;</w:t>
            </w:r>
          </w:p>
        </w:tc>
        <w:tc>
          <w:tcPr>
            <w:tcW w:w="1789"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nil"/>
              <w:left w:val="nil"/>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nil"/>
              <w:left w:val="single" w:sz="4" w:space="0" w:color="auto"/>
              <w:right w:val="single" w:sz="4" w:space="0" w:color="auto"/>
            </w:tcBorders>
          </w:tcPr>
          <w:p w:rsidR="003D495D" w:rsidRPr="003D495D" w:rsidRDefault="003D495D" w:rsidP="003D495D">
            <w:pPr>
              <w:spacing w:after="0" w:line="240" w:lineRule="auto"/>
              <w:contextualSpacing/>
              <w:rPr>
                <w:rFonts w:ascii="Times New Roman" w:eastAsia="Calibri" w:hAnsi="Times New Roman" w:cs="Times New Roman"/>
              </w:rPr>
            </w:pPr>
            <w:r w:rsidRPr="003D495D">
              <w:rPr>
                <w:rFonts w:ascii="Times New Roman" w:eastAsia="Calibri" w:hAnsi="Times New Roman" w:cs="Times New Roman"/>
              </w:rPr>
              <w:t>- 100 % de elevi din treapta primară din cadrul gimnaziilor, incluşi în programele anuale de alimentare</w:t>
            </w:r>
          </w:p>
        </w:tc>
      </w:tr>
      <w:tr w:rsidR="003D495D" w:rsidRPr="003D495D" w:rsidTr="009D346D">
        <w:trPr>
          <w:trHeight w:val="286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before="20" w:after="0" w:line="240" w:lineRule="auto"/>
              <w:jc w:val="both"/>
              <w:rPr>
                <w:rFonts w:ascii="Times New Roman" w:eastAsia="Calibri" w:hAnsi="Times New Roman" w:cs="Times New Roman"/>
              </w:rPr>
            </w:pPr>
          </w:p>
          <w:p w:rsidR="003D495D" w:rsidRPr="003D495D" w:rsidRDefault="003D495D" w:rsidP="003D495D">
            <w:pPr>
              <w:spacing w:after="0" w:line="240" w:lineRule="auto"/>
              <w:ind w:left="449" w:hanging="142"/>
              <w:rPr>
                <w:rFonts w:ascii="Times New Roman" w:eastAsia="Calibri" w:hAnsi="Times New Roman" w:cs="Times New Roman"/>
                <w:szCs w:val="20"/>
              </w:rPr>
            </w:pPr>
            <w:r w:rsidRPr="003D495D">
              <w:rPr>
                <w:rFonts w:ascii="Times New Roman" w:eastAsia="Calibri" w:hAnsi="Times New Roman" w:cs="Times New Roman"/>
                <w:szCs w:val="20"/>
              </w:rPr>
              <w:t>- dezvoltarea serviciilor de educaţie incluzivă în gimnazii</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- 30 la sută de elevi evaluaţi </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Numărul dosarelor evaluate depuse în termen real cu acordarea categoriei CES corespunzătoare</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- 30 de servicii de suport create </w:t>
            </w: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- 10 la sută din copii cu CES în cadraţi anual în învăţămîntul gimnazial</w:t>
            </w:r>
          </w:p>
        </w:tc>
      </w:tr>
      <w:tr w:rsidR="003D495D" w:rsidRPr="003D495D" w:rsidTr="009D346D">
        <w:trPr>
          <w:trHeight w:val="1241"/>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ind w:left="360"/>
              <w:rPr>
                <w:rFonts w:ascii="Times New Roman" w:eastAsia="Calibri" w:hAnsi="Times New Roman" w:cs="Times New Roman"/>
              </w:rPr>
            </w:pPr>
          </w:p>
          <w:p w:rsidR="003D495D" w:rsidRPr="003D495D" w:rsidRDefault="003D495D" w:rsidP="003D495D">
            <w:pPr>
              <w:numPr>
                <w:ilvl w:val="0"/>
                <w:numId w:val="18"/>
              </w:numPr>
              <w:tabs>
                <w:tab w:val="num" w:pos="449"/>
              </w:tabs>
              <w:spacing w:after="0" w:line="240" w:lineRule="auto"/>
              <w:ind w:left="449" w:hanging="142"/>
              <w:rPr>
                <w:rFonts w:ascii="Times New Roman" w:eastAsia="Calibri" w:hAnsi="Times New Roman" w:cs="Times New Roman"/>
                <w:szCs w:val="20"/>
              </w:rPr>
            </w:pPr>
            <w:r w:rsidRPr="003D495D">
              <w:rPr>
                <w:rFonts w:ascii="Times New Roman" w:eastAsia="Calibri" w:hAnsi="Times New Roman" w:cs="Times New Roman"/>
                <w:szCs w:val="20"/>
              </w:rPr>
              <w:t>fortificarea școlilor de circumscripție conform standardelor școlare etc.</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contextualSpacing/>
              <w:rPr>
                <w:rFonts w:ascii="Times New Roman" w:eastAsia="Calibri" w:hAnsi="Times New Roman" w:cs="Times New Roman"/>
              </w:rPr>
            </w:pPr>
            <w:r w:rsidRPr="003D495D">
              <w:rPr>
                <w:rFonts w:ascii="Times New Roman" w:eastAsia="Calibri" w:hAnsi="Times New Roman" w:cs="Times New Roman"/>
                <w:szCs w:val="20"/>
              </w:rPr>
              <w:t xml:space="preserve">- 30, 50,70 la sută de instituții de circumscripție care corespund standardelor de calitate corespunzător în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 xml:space="preserve"> 2017, 2018,2019</w:t>
            </w:r>
          </w:p>
        </w:tc>
      </w:tr>
      <w:tr w:rsidR="003D495D" w:rsidRPr="003D495D" w:rsidTr="009D346D">
        <w:trPr>
          <w:trHeight w:val="806"/>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Perfecţionarea actelor normative privind implementarea educaţiei incluzive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rPr>
            </w:pPr>
            <w:r w:rsidRPr="003D495D">
              <w:rPr>
                <w:rFonts w:ascii="Times New Roman" w:eastAsia="Calibri" w:hAnsi="Times New Roman" w:cs="Times New Roman"/>
                <w:szCs w:val="20"/>
              </w:rPr>
              <w:t xml:space="preserve">- Cadru normativ privind copii cu CES elaborat în anii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-2018</w:t>
            </w:r>
          </w:p>
        </w:tc>
      </w:tr>
      <w:tr w:rsidR="003D495D" w:rsidRPr="003D495D" w:rsidTr="009D346D">
        <w:trPr>
          <w:trHeight w:val="806"/>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Fortificarea şi dotarea şcolilor de circumscripție, conform standardelor aprobate (PREM - BM)</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rPr>
              <w:t xml:space="preserve">- 16,14, 12 elevi per computer, corespunzător în anii </w:t>
            </w:r>
            <w:r w:rsidRPr="003D495D">
              <w:rPr>
                <w:rFonts w:ascii="Times New Roman" w:eastAsia="Calibri" w:hAnsi="Times New Roman" w:cs="Times New Roman"/>
                <w:color w:val="FF0000"/>
              </w:rPr>
              <w:t>2016</w:t>
            </w:r>
            <w:r w:rsidRPr="003D495D">
              <w:rPr>
                <w:rFonts w:ascii="Times New Roman" w:eastAsia="Calibri" w:hAnsi="Times New Roman" w:cs="Times New Roman"/>
              </w:rPr>
              <w:t>, 2017, 2018, 2019</w:t>
            </w:r>
          </w:p>
        </w:tc>
      </w:tr>
      <w:tr w:rsidR="003D495D" w:rsidRPr="003D495D" w:rsidTr="009D346D">
        <w:trPr>
          <w:trHeight w:val="393"/>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B. Acţiuni ce duc la o utilizare mai eficace şi eficientă a resurselor</w:t>
            </w:r>
          </w:p>
        </w:tc>
      </w:tr>
      <w:tr w:rsidR="003D495D" w:rsidRPr="003D495D" w:rsidTr="009D346D">
        <w:trPr>
          <w:trHeight w:val="56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rPr>
            </w:pPr>
            <w:r w:rsidRPr="003D495D">
              <w:rPr>
                <w:rFonts w:ascii="Times New Roman" w:eastAsia="Calibri" w:hAnsi="Times New Roman" w:cs="Times New Roman"/>
              </w:rPr>
              <w:t>Elaborarea coeficienților de finanțare pentru tipurile de grupuri CES</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Coeficienți elaborați la sfîrșitul anului </w:t>
            </w:r>
            <w:r w:rsidRPr="003D495D">
              <w:rPr>
                <w:rFonts w:ascii="Times New Roman" w:eastAsia="Calibri" w:hAnsi="Times New Roman" w:cs="Times New Roman"/>
                <w:color w:val="FF0000"/>
                <w:szCs w:val="20"/>
              </w:rPr>
              <w:t>2016</w:t>
            </w:r>
          </w:p>
        </w:tc>
      </w:tr>
      <w:tr w:rsidR="003D495D" w:rsidRPr="003D495D" w:rsidTr="009D346D">
        <w:trPr>
          <w:trHeight w:val="704"/>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rPr>
            </w:pPr>
            <w:r w:rsidRPr="003D495D">
              <w:rPr>
                <w:rFonts w:ascii="Times New Roman" w:eastAsia="Calibri" w:hAnsi="Times New Roman" w:cs="Times New Roman"/>
              </w:rPr>
              <w:t xml:space="preserve">Ajustarea formulei de finanțare reieșind din necesitățile educației inclusive </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Proiect elaborat în anul 2017</w:t>
            </w:r>
          </w:p>
        </w:tc>
      </w:tr>
      <w:tr w:rsidR="003D495D" w:rsidRPr="003D495D" w:rsidTr="009D346D">
        <w:trPr>
          <w:trHeight w:val="841"/>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rPr>
            </w:pPr>
            <w:r w:rsidRPr="003D495D">
              <w:rPr>
                <w:rFonts w:ascii="Times New Roman" w:eastAsia="Calibri" w:hAnsi="Times New Roman" w:cs="Times New Roman"/>
                <w:szCs w:val="20"/>
              </w:rPr>
              <w:t>Reorganizarea și optimizarea instituțiilor de învățămînt</w:t>
            </w:r>
          </w:p>
        </w:tc>
        <w:tc>
          <w:tcPr>
            <w:tcW w:w="1789"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Numărul de instituţii de învăţămînt gimnazial, optimizate şi reorganizate</w:t>
            </w:r>
          </w:p>
        </w:tc>
      </w:tr>
      <w:tr w:rsidR="003D495D" w:rsidRPr="003D495D" w:rsidTr="009D346D">
        <w:trPr>
          <w:trHeight w:val="35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u w:val="single"/>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C. Acţiuni noi identificate pentru anii 2016-2018</w:t>
            </w:r>
          </w:p>
        </w:tc>
      </w:tr>
      <w:tr w:rsidR="003D495D" w:rsidRPr="003D495D" w:rsidTr="009D346D">
        <w:trPr>
          <w:trHeight w:val="132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Pilotarea programului „1:1 e-learning” în 15 instituții de învățămînt</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- 100 % de instituții asigurate cu computere </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În 15 instituții soft-uri implementate la 50% discipline către anul 2017</w:t>
            </w:r>
          </w:p>
        </w:tc>
      </w:tr>
      <w:tr w:rsidR="003D495D" w:rsidRPr="003D495D" w:rsidTr="009D346D">
        <w:trPr>
          <w:trHeight w:val="641"/>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Renovarea instituțiilor de învățămînt gimnazial</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contextualSpacing/>
              <w:jc w:val="both"/>
              <w:rPr>
                <w:rFonts w:ascii="Times New Roman" w:eastAsia="Calibri" w:hAnsi="Times New Roman" w:cs="Times New Roman"/>
                <w:szCs w:val="20"/>
              </w:rPr>
            </w:pPr>
            <w:r w:rsidRPr="003D495D">
              <w:rPr>
                <w:rFonts w:ascii="Times New Roman" w:eastAsia="Calibri" w:hAnsi="Times New Roman" w:cs="Times New Roman"/>
                <w:szCs w:val="20"/>
              </w:rPr>
              <w:t xml:space="preserve">- 2 gimnazii renovate pînă la sfîrșitul </w:t>
            </w:r>
            <w:r w:rsidRPr="003D495D">
              <w:rPr>
                <w:rFonts w:ascii="Times New Roman" w:eastAsia="Calibri" w:hAnsi="Times New Roman" w:cs="Times New Roman"/>
                <w:color w:val="FF0000"/>
                <w:szCs w:val="20"/>
              </w:rPr>
              <w:t>anului 2016</w:t>
            </w:r>
          </w:p>
        </w:tc>
      </w:tr>
      <w:tr w:rsidR="003D495D" w:rsidRPr="003D495D" w:rsidTr="009D346D">
        <w:trPr>
          <w:trHeight w:val="89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r>
      <w:tr w:rsidR="003D495D" w:rsidRPr="003D495D" w:rsidTr="009D346D">
        <w:trPr>
          <w:trHeight w:val="212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Majorarea cheltuielilor de personal, conform politicii salariale </w:t>
            </w:r>
          </w:p>
        </w:tc>
        <w:tc>
          <w:tcPr>
            <w:tcW w:w="1789"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Proiect de lege, Hotărîre de Guvern prezentate Guvernului în anul </w:t>
            </w:r>
            <w:r w:rsidRPr="003D495D">
              <w:rPr>
                <w:rFonts w:ascii="Times New Roman" w:eastAsia="Calibri" w:hAnsi="Times New Roman" w:cs="Times New Roman"/>
                <w:color w:val="FF0000"/>
                <w:szCs w:val="20"/>
              </w:rPr>
              <w:t>2016</w:t>
            </w:r>
          </w:p>
        </w:tc>
      </w:tr>
      <w:tr w:rsidR="003D495D" w:rsidRPr="003D495D" w:rsidTr="009D346D">
        <w:trPr>
          <w:trHeight w:val="240"/>
        </w:trPr>
        <w:tc>
          <w:tcPr>
            <w:tcW w:w="3372" w:type="dxa"/>
            <w:tcBorders>
              <w:top w:val="single" w:sz="4" w:space="0" w:color="auto"/>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rPr>
                <w:rFonts w:ascii="Times New Roman" w:eastAsia="Calibri" w:hAnsi="Times New Roman" w:cs="Times New Roman"/>
                <w:b/>
                <w:bCs/>
                <w:i/>
                <w:iCs/>
                <w:szCs w:val="20"/>
              </w:rPr>
            </w:pPr>
            <w:r w:rsidRPr="003D495D">
              <w:rPr>
                <w:rFonts w:ascii="Times New Roman" w:eastAsia="Calibri" w:hAnsi="Times New Roman" w:cs="Times New Roman"/>
                <w:b/>
                <w:bCs/>
                <w:i/>
                <w:iCs/>
                <w:szCs w:val="20"/>
              </w:rPr>
              <w:t>Costul subprogramului</w:t>
            </w:r>
          </w:p>
        </w:tc>
        <w:tc>
          <w:tcPr>
            <w:tcW w:w="3601" w:type="dxa"/>
            <w:gridSpan w:val="2"/>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789"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2889"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r>
      <w:tr w:rsidR="003D495D" w:rsidRPr="003D495D" w:rsidTr="009D346D">
        <w:trPr>
          <w:trHeight w:val="525"/>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Subprogramul 05 „Învăţămînt special” ” </w:t>
            </w:r>
            <w:r w:rsidRPr="003D495D">
              <w:rPr>
                <w:rFonts w:ascii="Times New Roman" w:eastAsia="Calibri" w:hAnsi="Times New Roman" w:cs="Times New Roman"/>
                <w:szCs w:val="20"/>
              </w:rPr>
              <w:t>include şcolile de tip- internat, şcolile-internat cu regim special, şcolile – internat auxiliare şi şcolile-internat sanatoriale şi casele de copiii, fiind formă de organizare a procesului de învățămînt.</w:t>
            </w:r>
          </w:p>
        </w:tc>
      </w:tr>
      <w:tr w:rsidR="003D495D" w:rsidRPr="003D495D" w:rsidTr="009D346D">
        <w:trPr>
          <w:trHeight w:val="525"/>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b/>
                <w:bCs/>
                <w:szCs w:val="20"/>
              </w:rPr>
              <w:t xml:space="preserve">Scopul subprogramului: </w:t>
            </w:r>
            <w:r w:rsidRPr="003D495D">
              <w:rPr>
                <w:rFonts w:ascii="Times New Roman" w:eastAsia="Calibri" w:hAnsi="Times New Roman" w:cs="Times New Roman"/>
                <w:szCs w:val="20"/>
              </w:rPr>
              <w:t>Educarea, instruirea, reabilitarea/recuperarea şi integrarea educaţională şi socială a persoanelor şi reformarea sistemului de instituţii rezidenţiale prin promovarea politicilor.</w:t>
            </w:r>
          </w:p>
        </w:tc>
      </w:tr>
      <w:tr w:rsidR="003D495D" w:rsidRPr="003D495D" w:rsidTr="009D346D">
        <w:trPr>
          <w:trHeight w:val="300"/>
        </w:trPr>
        <w:tc>
          <w:tcPr>
            <w:tcW w:w="3372" w:type="dxa"/>
            <w:tcBorders>
              <w:top w:val="nil"/>
              <w:left w:val="single" w:sz="4" w:space="0" w:color="auto"/>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Probleme cheie</w:t>
            </w:r>
          </w:p>
        </w:tc>
        <w:tc>
          <w:tcPr>
            <w:tcW w:w="11039" w:type="dxa"/>
            <w:gridSpan w:val="6"/>
            <w:tcBorders>
              <w:top w:val="nil"/>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Acţiuni curente</w:t>
            </w:r>
          </w:p>
        </w:tc>
      </w:tr>
      <w:tr w:rsidR="003D495D" w:rsidRPr="003D495D" w:rsidTr="009D346D">
        <w:trPr>
          <w:trHeight w:val="1644"/>
        </w:trPr>
        <w:tc>
          <w:tcPr>
            <w:tcW w:w="3372" w:type="dxa"/>
            <w:vMerge w:val="restart"/>
            <w:tcBorders>
              <w:top w:val="single" w:sz="4" w:space="0" w:color="auto"/>
              <w:left w:val="single" w:sz="4" w:space="0" w:color="auto"/>
              <w:right w:val="single" w:sz="4" w:space="0" w:color="auto"/>
            </w:tcBorders>
          </w:tcPr>
          <w:p w:rsidR="003D495D" w:rsidRPr="003D495D" w:rsidRDefault="003D495D" w:rsidP="003D495D">
            <w:pPr>
              <w:spacing w:after="0" w:line="240" w:lineRule="auto"/>
              <w:ind w:left="-42"/>
              <w:rPr>
                <w:rFonts w:ascii="Times New Roman" w:eastAsia="Calibri" w:hAnsi="Times New Roman" w:cs="Times New Roman"/>
                <w:szCs w:val="20"/>
              </w:rPr>
            </w:pPr>
            <w:r w:rsidRPr="003D495D">
              <w:rPr>
                <w:rFonts w:ascii="Times New Roman" w:eastAsia="Calibri" w:hAnsi="Times New Roman" w:cs="Times New Roman"/>
                <w:szCs w:val="20"/>
              </w:rPr>
              <w:t>- Numărul mare de copii instituţionalizaţi (3100), lipsiţi de mediul familial</w:t>
            </w:r>
          </w:p>
          <w:p w:rsidR="003D495D" w:rsidRPr="003D495D" w:rsidRDefault="003D495D" w:rsidP="003D495D">
            <w:pPr>
              <w:spacing w:after="0" w:line="240" w:lineRule="auto"/>
              <w:ind w:left="525"/>
              <w:rPr>
                <w:rFonts w:ascii="Times New Roman" w:eastAsia="Calibri" w:hAnsi="Times New Roman" w:cs="Times New Roman"/>
                <w:szCs w:val="20"/>
              </w:rPr>
            </w:pPr>
          </w:p>
          <w:p w:rsidR="003D495D" w:rsidRPr="003D495D" w:rsidRDefault="003D495D" w:rsidP="003D495D">
            <w:pPr>
              <w:spacing w:after="0" w:line="240" w:lineRule="auto"/>
              <w:ind w:left="-42"/>
              <w:rPr>
                <w:rFonts w:ascii="Times New Roman" w:eastAsia="Calibri" w:hAnsi="Times New Roman" w:cs="Times New Roman"/>
                <w:szCs w:val="20"/>
              </w:rPr>
            </w:pPr>
            <w:r w:rsidRPr="003D495D">
              <w:rPr>
                <w:rFonts w:ascii="Times New Roman" w:eastAsia="Calibri" w:hAnsi="Times New Roman" w:cs="Times New Roman"/>
                <w:szCs w:val="20"/>
              </w:rPr>
              <w:t>- Utilizarea ineficientă a mijloacelor alocate pentru instituţiile de tip rezidenţial, inclusiv prin menţinerea raportului mic copiii/angajat</w:t>
            </w:r>
          </w:p>
          <w:p w:rsidR="003D495D" w:rsidRPr="003D495D" w:rsidRDefault="003D495D" w:rsidP="003D495D">
            <w:pPr>
              <w:spacing w:after="0" w:line="240" w:lineRule="auto"/>
              <w:ind w:left="-42"/>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B. Obiective de politici pe termen mediu</w:t>
            </w:r>
          </w:p>
          <w:p w:rsidR="003D495D" w:rsidRPr="003D495D" w:rsidRDefault="003D495D" w:rsidP="003D495D">
            <w:pPr>
              <w:spacing w:after="0" w:line="240" w:lineRule="auto"/>
              <w:rPr>
                <w:rFonts w:ascii="Times New Roman" w:eastAsia="Calibri" w:hAnsi="Times New Roman" w:cs="Times New Roman"/>
                <w:b/>
                <w:bCs/>
                <w:szCs w:val="20"/>
                <w:u w:val="single"/>
              </w:rPr>
            </w:pPr>
          </w:p>
          <w:p w:rsidR="003D495D" w:rsidRPr="003D495D" w:rsidRDefault="003D495D" w:rsidP="003D495D">
            <w:pPr>
              <w:spacing w:after="0" w:line="240" w:lineRule="auto"/>
              <w:ind w:left="-42"/>
              <w:rPr>
                <w:rFonts w:ascii="Times New Roman" w:eastAsia="Calibri" w:hAnsi="Times New Roman" w:cs="Times New Roman"/>
                <w:szCs w:val="20"/>
              </w:rPr>
            </w:pPr>
            <w:r w:rsidRPr="003D495D">
              <w:rPr>
                <w:rFonts w:ascii="Times New Roman" w:eastAsia="Calibri" w:hAnsi="Times New Roman" w:cs="Times New Roman"/>
                <w:szCs w:val="20"/>
              </w:rPr>
              <w:lastRenderedPageBreak/>
              <w:t>- Reintegrarea socio-educaţională a copiilor aflaţi în instituţiile de tip rezidenţial</w:t>
            </w:r>
          </w:p>
          <w:p w:rsidR="003D495D" w:rsidRPr="003D495D" w:rsidRDefault="003D495D" w:rsidP="003D495D">
            <w:pPr>
              <w:spacing w:after="0" w:line="240" w:lineRule="auto"/>
              <w:rPr>
                <w:rFonts w:ascii="Times New Roman" w:eastAsia="Calibri" w:hAnsi="Times New Roman" w:cs="Times New Roman"/>
                <w:b/>
                <w:bCs/>
                <w:szCs w:val="20"/>
                <w:u w:val="single"/>
              </w:rPr>
            </w:pPr>
          </w:p>
          <w:p w:rsidR="003D495D" w:rsidRPr="003D495D" w:rsidRDefault="003D495D" w:rsidP="003D495D">
            <w:pPr>
              <w:spacing w:after="0" w:line="240" w:lineRule="auto"/>
              <w:ind w:left="-42"/>
              <w:rPr>
                <w:rFonts w:ascii="Times New Roman" w:eastAsia="Calibri" w:hAnsi="Times New Roman" w:cs="Times New Roman"/>
                <w:bCs/>
                <w:szCs w:val="20"/>
              </w:rPr>
            </w:pPr>
            <w:r w:rsidRPr="003D495D">
              <w:rPr>
                <w:rFonts w:ascii="Times New Roman" w:eastAsia="Calibri" w:hAnsi="Times New Roman" w:cs="Times New Roman"/>
                <w:bCs/>
                <w:szCs w:val="20"/>
              </w:rPr>
              <w:t>- Reducerea numărului de copii aflaţi în instituţiile rezidenţiale şi speciale cu 35% pînă în anul 2017</w:t>
            </w:r>
          </w:p>
          <w:p w:rsidR="003D495D" w:rsidRPr="003D495D" w:rsidRDefault="003D495D" w:rsidP="003D495D">
            <w:pPr>
              <w:spacing w:after="0" w:line="240" w:lineRule="auto"/>
              <w:ind w:left="99"/>
              <w:rPr>
                <w:rFonts w:ascii="Times New Roman" w:eastAsia="Calibri" w:hAnsi="Times New Roman" w:cs="Times New Roman"/>
                <w:bCs/>
                <w:szCs w:val="20"/>
              </w:rPr>
            </w:pPr>
          </w:p>
          <w:p w:rsidR="003D495D" w:rsidRPr="003D495D" w:rsidRDefault="003D495D" w:rsidP="003D495D">
            <w:pPr>
              <w:spacing w:after="0" w:line="240" w:lineRule="auto"/>
              <w:ind w:left="-42"/>
              <w:rPr>
                <w:rFonts w:ascii="Times New Roman" w:eastAsia="Calibri" w:hAnsi="Times New Roman" w:cs="Times New Roman"/>
                <w:b/>
                <w:bCs/>
                <w:szCs w:val="20"/>
                <w:u w:val="single"/>
              </w:rPr>
            </w:pPr>
            <w:r w:rsidRPr="003D495D">
              <w:rPr>
                <w:rFonts w:ascii="Times New Roman" w:eastAsia="Calibri" w:hAnsi="Times New Roman" w:cs="Times New Roman"/>
                <w:bCs/>
                <w:szCs w:val="20"/>
              </w:rPr>
              <w:t>- Transformarea, către anul 2017 – a cel puţin 15% din instituţiile de învăţămînt de tip rezidenţial</w:t>
            </w:r>
          </w:p>
          <w:p w:rsidR="003D495D" w:rsidRPr="003D495D" w:rsidRDefault="003D495D" w:rsidP="003D495D">
            <w:pPr>
              <w:spacing w:after="0" w:line="240" w:lineRule="auto"/>
              <w:rPr>
                <w:rFonts w:ascii="Times New Roman" w:eastAsia="Calibri" w:hAnsi="Times New Roman" w:cs="Times New Roman"/>
                <w:b/>
                <w:bCs/>
                <w:szCs w:val="20"/>
                <w:u w:val="single"/>
              </w:rPr>
            </w:pPr>
          </w:p>
          <w:p w:rsidR="003D495D" w:rsidRPr="003D495D" w:rsidRDefault="003D495D" w:rsidP="003D495D">
            <w:pPr>
              <w:spacing w:after="0" w:line="240" w:lineRule="auto"/>
              <w:ind w:left="-42"/>
              <w:rPr>
                <w:rFonts w:ascii="Times New Roman" w:eastAsia="Calibri" w:hAnsi="Times New Roman" w:cs="Times New Roman"/>
                <w:b/>
                <w:bCs/>
                <w:szCs w:val="20"/>
                <w:u w:val="single"/>
              </w:rPr>
            </w:pPr>
            <w:r w:rsidRPr="003D495D">
              <w:rPr>
                <w:rFonts w:ascii="Times New Roman" w:eastAsia="Calibri" w:hAnsi="Times New Roman" w:cs="Times New Roman"/>
                <w:bCs/>
                <w:szCs w:val="20"/>
              </w:rPr>
              <w:t>- Redirecţionarea resurselor financiare în procesul de reorganizare a sistemului rezidenţial pentru dezvoltarea serviciilor de educaţie incluzivă.</w:t>
            </w:r>
          </w:p>
          <w:p w:rsidR="003D495D" w:rsidRPr="003D495D" w:rsidRDefault="003D495D" w:rsidP="003D495D">
            <w:pPr>
              <w:spacing w:after="0" w:line="240" w:lineRule="auto"/>
              <w:ind w:left="-42"/>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 xml:space="preserve">Menţinerea activităţii curente a instituţiilor de tip internat </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Reactualizarea Planului-cadru de transformare a sistemului rezidenţial şi special de îngrijire a copilului</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Planul-cadru de transformare a instituțiilor rezidențiale și de învățămînt special revizuit în 2018</w:t>
            </w:r>
          </w:p>
        </w:tc>
      </w:tr>
      <w:tr w:rsidR="003D495D" w:rsidRPr="003D495D" w:rsidTr="009D346D">
        <w:trPr>
          <w:trHeight w:val="1644"/>
        </w:trPr>
        <w:tc>
          <w:tcPr>
            <w:tcW w:w="3372" w:type="dxa"/>
            <w:vMerge/>
            <w:tcBorders>
              <w:left w:val="single" w:sz="4" w:space="0" w:color="auto"/>
              <w:right w:val="single" w:sz="4" w:space="0" w:color="auto"/>
            </w:tcBorders>
          </w:tcPr>
          <w:p w:rsidR="003D495D" w:rsidRPr="003D495D" w:rsidRDefault="003D495D" w:rsidP="003D495D">
            <w:pPr>
              <w:spacing w:after="0" w:line="240" w:lineRule="auto"/>
              <w:ind w:left="-42"/>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Reorganizarea sistemului de instituţii de tip rezidenţial pentru educaţia şi îngrijirea copiilor cu cerinţe educaţionale speciale </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Circa 4 Instituţii rezidenţiale reorganizate anual</w:t>
            </w:r>
          </w:p>
        </w:tc>
      </w:tr>
      <w:tr w:rsidR="003D495D" w:rsidRPr="003D495D" w:rsidTr="009D346D">
        <w:trPr>
          <w:trHeight w:val="4004"/>
        </w:trPr>
        <w:tc>
          <w:tcPr>
            <w:tcW w:w="3372" w:type="dxa"/>
            <w:vMerge/>
            <w:tcBorders>
              <w:left w:val="single" w:sz="4" w:space="0" w:color="auto"/>
              <w:right w:val="single" w:sz="4" w:space="0" w:color="auto"/>
            </w:tcBorders>
          </w:tcPr>
          <w:p w:rsidR="003D495D" w:rsidRPr="003D495D" w:rsidRDefault="003D495D" w:rsidP="003D495D">
            <w:pPr>
              <w:spacing w:after="0" w:line="240" w:lineRule="auto"/>
              <w:ind w:left="-42"/>
              <w:rPr>
                <w:rFonts w:ascii="Times New Roman" w:eastAsia="Calibri" w:hAnsi="Times New Roman" w:cs="Times New Roman"/>
                <w:szCs w:val="20"/>
              </w:rPr>
            </w:pPr>
          </w:p>
        </w:tc>
        <w:tc>
          <w:tcPr>
            <w:tcW w:w="3601" w:type="dxa"/>
            <w:gridSpan w:val="2"/>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Reorganizarea sistemului special de educaţie a copiilor cu dizabilități senzoriale, multiple și asociate</w:t>
            </w:r>
          </w:p>
        </w:tc>
        <w:tc>
          <w:tcPr>
            <w:tcW w:w="1789"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2889" w:type="dxa"/>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Circa 300 copii anual dezinstituționalizați din instituţiile rezidenţiale </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Structuri specializate în suportul educațional al copiilor cu dizabilități senzoriale </w:t>
            </w:r>
            <w:r w:rsidRPr="003D495D">
              <w:rPr>
                <w:rFonts w:ascii="Times New Roman" w:eastAsia="Calibri" w:hAnsi="Times New Roman" w:cs="Times New Roman"/>
                <w:bCs/>
                <w:szCs w:val="20"/>
              </w:rPr>
              <w:t xml:space="preserve">multiple și asociate </w:t>
            </w:r>
            <w:r w:rsidRPr="003D495D">
              <w:rPr>
                <w:rFonts w:ascii="Times New Roman" w:eastAsia="Calibri" w:hAnsi="Times New Roman" w:cs="Times New Roman"/>
                <w:szCs w:val="20"/>
              </w:rPr>
              <w:t>create în 2018</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Creştere anuală cu cel puţin 10 la sută a ratei de accesul a copiilor cu cerinţe educaţionale speciale la educaţie</w:t>
            </w:r>
          </w:p>
        </w:tc>
      </w:tr>
      <w:tr w:rsidR="003D495D" w:rsidRPr="003D495D" w:rsidTr="009D346D">
        <w:trPr>
          <w:trHeight w:val="36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B. Acţiuni ce duc la o utilizare mai eficace şi eficientă a resurselor</w:t>
            </w:r>
          </w:p>
        </w:tc>
      </w:tr>
      <w:tr w:rsidR="003D495D" w:rsidRPr="003D495D" w:rsidTr="009D346D">
        <w:trPr>
          <w:trHeight w:val="120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nil"/>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Redirecţionarea resurselor financiare de la instituţiile de tip rezidenţial reorganizate spre dezvoltarea serviciilor sociale şi educaţionale alternative</w:t>
            </w:r>
          </w:p>
        </w:tc>
        <w:tc>
          <w:tcPr>
            <w:tcW w:w="1789"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Resurse financiare redirecționate pentru dezvoltarea serviciilor sociale și educaționale alternative</w:t>
            </w:r>
          </w:p>
        </w:tc>
      </w:tr>
      <w:tr w:rsidR="003D495D" w:rsidRPr="003D495D" w:rsidTr="009D346D">
        <w:trPr>
          <w:trHeight w:val="417"/>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C. Acţiuni noi identificate pentru anii 2016-2018</w:t>
            </w:r>
          </w:p>
        </w:tc>
      </w:tr>
      <w:tr w:rsidR="003D495D" w:rsidRPr="003D495D" w:rsidTr="009D346D">
        <w:trPr>
          <w:trHeight w:val="87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nil"/>
              <w:right w:val="nil"/>
            </w:tcBorders>
          </w:tcPr>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Cs/>
                <w:szCs w:val="20"/>
              </w:rPr>
              <w:t xml:space="preserve">Majorarea cheltuielilor de personal, conform politicii salariale </w:t>
            </w:r>
          </w:p>
        </w:tc>
        <w:tc>
          <w:tcPr>
            <w:tcW w:w="1789" w:type="dxa"/>
            <w:tcBorders>
              <w:top w:val="single" w:sz="4" w:space="0" w:color="auto"/>
              <w:left w:val="single" w:sz="4" w:space="0" w:color="auto"/>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Proiect de lege, Hotărîre de Guvern prezentate Guvernului în anul </w:t>
            </w:r>
            <w:r w:rsidRPr="003D495D">
              <w:rPr>
                <w:rFonts w:ascii="Times New Roman" w:eastAsia="Calibri" w:hAnsi="Times New Roman" w:cs="Times New Roman"/>
                <w:color w:val="FF0000"/>
                <w:szCs w:val="20"/>
              </w:rPr>
              <w:t>2016</w:t>
            </w:r>
          </w:p>
        </w:tc>
      </w:tr>
      <w:tr w:rsidR="003D495D" w:rsidRPr="003D495D" w:rsidTr="009D346D">
        <w:trPr>
          <w:trHeight w:val="251"/>
        </w:trPr>
        <w:tc>
          <w:tcPr>
            <w:tcW w:w="3372" w:type="dxa"/>
            <w:tcBorders>
              <w:top w:val="single" w:sz="4" w:space="0" w:color="auto"/>
              <w:left w:val="single" w:sz="4" w:space="0" w:color="auto"/>
              <w:bottom w:val="single" w:sz="4" w:space="0" w:color="auto"/>
              <w:right w:val="single" w:sz="4" w:space="0" w:color="auto"/>
            </w:tcBorders>
            <w:shd w:val="clear" w:color="auto" w:fill="F4B083"/>
          </w:tcPr>
          <w:p w:rsidR="003D495D" w:rsidRPr="003D495D" w:rsidRDefault="003D495D" w:rsidP="003D495D">
            <w:pPr>
              <w:spacing w:after="0" w:line="240" w:lineRule="auto"/>
              <w:rPr>
                <w:rFonts w:ascii="Times New Roman" w:eastAsia="Calibri" w:hAnsi="Times New Roman" w:cs="Times New Roman"/>
                <w:b/>
                <w:bCs/>
                <w:i/>
                <w:szCs w:val="20"/>
              </w:rPr>
            </w:pPr>
            <w:r w:rsidRPr="003D495D">
              <w:rPr>
                <w:rFonts w:ascii="Times New Roman" w:eastAsia="Calibri" w:hAnsi="Times New Roman" w:cs="Times New Roman"/>
                <w:b/>
                <w:bCs/>
                <w:i/>
                <w:szCs w:val="20"/>
              </w:rPr>
              <w:t>Costul subprogramului</w:t>
            </w:r>
            <w:r w:rsidRPr="003D495D">
              <w:rPr>
                <w:rFonts w:ascii="Times New Roman" w:eastAsia="Calibri" w:hAnsi="Times New Roman" w:cs="Times New Roman"/>
                <w:b/>
                <w:bCs/>
                <w:i/>
                <w:szCs w:val="20"/>
              </w:rPr>
              <w:tab/>
            </w:r>
          </w:p>
        </w:tc>
        <w:tc>
          <w:tcPr>
            <w:tcW w:w="3601" w:type="dxa"/>
            <w:gridSpan w:val="2"/>
            <w:tcBorders>
              <w:top w:val="single" w:sz="4" w:space="0" w:color="auto"/>
              <w:left w:val="single" w:sz="4" w:space="0" w:color="auto"/>
              <w:bottom w:val="single" w:sz="4" w:space="0" w:color="auto"/>
              <w:right w:val="single" w:sz="4" w:space="0" w:color="auto"/>
            </w:tcBorders>
            <w:shd w:val="clear" w:color="auto" w:fill="F4B083"/>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789" w:type="dxa"/>
            <w:tcBorders>
              <w:top w:val="single" w:sz="4" w:space="0" w:color="auto"/>
              <w:left w:val="single" w:sz="4" w:space="0" w:color="auto"/>
              <w:bottom w:val="single" w:sz="4" w:space="0" w:color="auto"/>
              <w:right w:val="single" w:sz="4" w:space="0" w:color="auto"/>
            </w:tcBorders>
            <w:shd w:val="clear" w:color="auto" w:fill="F4B083"/>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single" w:sz="4" w:space="0" w:color="auto"/>
              <w:bottom w:val="single" w:sz="4" w:space="0" w:color="auto"/>
              <w:right w:val="single" w:sz="4" w:space="0" w:color="auto"/>
            </w:tcBorders>
            <w:shd w:val="clear" w:color="auto" w:fill="F4B083"/>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single" w:sz="4" w:space="0" w:color="auto"/>
              <w:bottom w:val="single" w:sz="4" w:space="0" w:color="auto"/>
              <w:right w:val="single" w:sz="4" w:space="0" w:color="auto"/>
            </w:tcBorders>
            <w:shd w:val="clear" w:color="auto" w:fill="F4B083"/>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2889" w:type="dxa"/>
            <w:tcBorders>
              <w:top w:val="single" w:sz="4" w:space="0" w:color="auto"/>
              <w:left w:val="single" w:sz="4" w:space="0" w:color="auto"/>
              <w:bottom w:val="single" w:sz="4" w:space="0" w:color="auto"/>
              <w:right w:val="single" w:sz="4" w:space="0" w:color="auto"/>
            </w:tcBorders>
            <w:shd w:val="clear" w:color="auto" w:fill="F4B083"/>
          </w:tcPr>
          <w:p w:rsidR="003D495D" w:rsidRPr="003D495D" w:rsidRDefault="003D495D" w:rsidP="003D495D">
            <w:pPr>
              <w:spacing w:after="0" w:line="240" w:lineRule="auto"/>
              <w:jc w:val="center"/>
              <w:rPr>
                <w:rFonts w:ascii="Times New Roman" w:eastAsia="Calibri" w:hAnsi="Times New Roman" w:cs="Times New Roman"/>
                <w:b/>
                <w:bCs/>
                <w:szCs w:val="20"/>
              </w:rPr>
            </w:pPr>
          </w:p>
        </w:tc>
      </w:tr>
      <w:tr w:rsidR="003D495D" w:rsidRPr="003D495D" w:rsidTr="009D346D">
        <w:trPr>
          <w:trHeight w:val="510"/>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Subprogramul 06 „Învăţământ liceal” </w:t>
            </w:r>
            <w:r w:rsidRPr="003D495D">
              <w:rPr>
                <w:rFonts w:ascii="Times New Roman" w:eastAsia="Calibri" w:hAnsi="Times New Roman" w:cs="Times New Roman"/>
                <w:bCs/>
                <w:szCs w:val="20"/>
              </w:rPr>
              <w:t xml:space="preserve">vizează intervenții la nivel de conceptualizare a învățămîntului liceal, de revizuire a actelor normative ce reglementează funcționarea instituțiilor de învățământ liceal, de asigurare a calității şi a consilierii </w:t>
            </w:r>
            <w:r w:rsidRPr="003D495D">
              <w:rPr>
                <w:rFonts w:ascii="Times New Roman" w:eastAsia="Calibri" w:hAnsi="Times New Roman" w:cs="Times New Roman"/>
                <w:szCs w:val="20"/>
              </w:rPr>
              <w:t>elevilor în alegerea traseului educaţional sau profesional individual către învăţămîntul superior sau învăţămîntul profesional tehnic postsecundar nonterţiar, în funcţie de potenţial, vocaţie şi performanţe.</w:t>
            </w:r>
          </w:p>
        </w:tc>
      </w:tr>
      <w:tr w:rsidR="003D495D" w:rsidRPr="003D495D" w:rsidTr="009D346D">
        <w:trPr>
          <w:trHeight w:val="300"/>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Scopul subprogramului: </w:t>
            </w:r>
            <w:r w:rsidRPr="003D495D">
              <w:rPr>
                <w:rFonts w:ascii="Times New Roman" w:eastAsia="Calibri" w:hAnsi="Times New Roman" w:cs="Times New Roman"/>
                <w:szCs w:val="20"/>
              </w:rPr>
              <w:t>Reconceptualizarea învăţămîntului liceal şi dezvoltarea competenţelor-cheie în contextul eficientizării conexiunii dintre treptele ulterioare de învăţămînt.</w:t>
            </w:r>
          </w:p>
        </w:tc>
      </w:tr>
      <w:tr w:rsidR="003D495D" w:rsidRPr="003D495D" w:rsidTr="009D346D">
        <w:trPr>
          <w:trHeight w:val="285"/>
        </w:trPr>
        <w:tc>
          <w:tcPr>
            <w:tcW w:w="3372" w:type="dxa"/>
            <w:tcBorders>
              <w:top w:val="nil"/>
              <w:left w:val="single" w:sz="4" w:space="0" w:color="auto"/>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Probleme cheie</w:t>
            </w:r>
          </w:p>
        </w:tc>
        <w:tc>
          <w:tcPr>
            <w:tcW w:w="11039" w:type="dxa"/>
            <w:gridSpan w:val="6"/>
            <w:tcBorders>
              <w:top w:val="nil"/>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Acţiuni curente</w:t>
            </w:r>
          </w:p>
        </w:tc>
      </w:tr>
      <w:tr w:rsidR="003D495D" w:rsidRPr="003D495D" w:rsidTr="009D346D">
        <w:trPr>
          <w:trHeight w:val="2865"/>
        </w:trPr>
        <w:tc>
          <w:tcPr>
            <w:tcW w:w="3372" w:type="dxa"/>
            <w:vMerge w:val="restart"/>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 xml:space="preserve">- Supradimensionarea reţelei instituţiilor de învăţămînt de tip liceal în raport cu numărul de solicitanţi </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Asigurarea insuficientă a serviciilor de transport şcolar</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Degradarea fizică şi uzura morală a bazei tehnico-materiale şi didactice a instituţiilor de învăţămînt, fapt ce influenţează negativ calitatea procesului educaţional</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Insuficienţa echipamentului şi soft-urilor educaţionale necesare pentru utilizarea acestora în procesul de predare-învăţare-evaluare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Accesul insuficient al copiilor cu cerinţe educaţionale speciale la învăţămîntul liceal</w:t>
            </w:r>
          </w:p>
          <w:p w:rsidR="003D495D" w:rsidRPr="003D495D" w:rsidRDefault="003D495D" w:rsidP="003D495D">
            <w:pPr>
              <w:spacing w:after="0" w:line="240" w:lineRule="auto"/>
              <w:rPr>
                <w:rFonts w:ascii="Times New Roman" w:eastAsia="Calibri" w:hAnsi="Times New Roman" w:cs="Times New Roman"/>
                <w:bCs/>
                <w:szCs w:val="20"/>
              </w:rPr>
            </w:pP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Mecanisme rigide de finanţare a educaţiei incluzive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Cadrul normativ insuficient privind asigurarea implementării educaţiei inclusive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B. Obiective de politici pe termen mediu</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Ajustarea reţelei şcolare la schimbările demografice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 Implementarea Standardelor de asigurare a calităţii pentru şcolile de circumscripţie, conform acordurilor stabilite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color w:val="FF0000"/>
                <w:szCs w:val="20"/>
              </w:rPr>
            </w:pPr>
            <w:r w:rsidRPr="003D495D">
              <w:rPr>
                <w:rFonts w:ascii="Times New Roman" w:eastAsia="Calibri" w:hAnsi="Times New Roman" w:cs="Times New Roman"/>
                <w:szCs w:val="20"/>
              </w:rPr>
              <w:t xml:space="preserve">- Dotarea cu echipament TIC şi implementarea soft-urilor educaţionale în procesul de predare-învăţare la discipline din aria curriculară matematică şi ştiinţe în 100% licee în </w:t>
            </w:r>
            <w:r w:rsidRPr="003D495D">
              <w:rPr>
                <w:rFonts w:ascii="Times New Roman" w:eastAsia="Calibri" w:hAnsi="Times New Roman" w:cs="Times New Roman"/>
                <w:color w:val="FF0000"/>
                <w:szCs w:val="20"/>
              </w:rPr>
              <w:t>2016</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Armonizarea cadrului normativ naţional de dezvoltare a educaţiei incluzive în vederea asigurării accesului la o educaţie de calitate pentru fiecare copil, inclusiv pentru persoanele cu cerinţe educaţionale speciale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Promovarea şi asigurarea educaţiei incluzive la nivel de sistem educaţional prin creşterea anuală cu cel puţin 10% a accesului copiilor cu CES la învăţămîntul liceal</w:t>
            </w:r>
          </w:p>
          <w:p w:rsidR="003D495D" w:rsidRPr="003D495D" w:rsidRDefault="003D495D" w:rsidP="003D495D">
            <w:pPr>
              <w:spacing w:after="0" w:line="240" w:lineRule="auto"/>
              <w:rPr>
                <w:rFonts w:ascii="Times New Roman" w:eastAsia="Calibri" w:hAnsi="Times New Roman" w:cs="Times New Roman"/>
                <w:bCs/>
                <w:szCs w:val="20"/>
              </w:rPr>
            </w:pP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Cs/>
                <w:szCs w:val="20"/>
              </w:rPr>
              <w:t>- Ajustarea formulei de finanţare per elev, inclusiv coeficienții grupurilor cu CES pentru facilitarea educaţiei incluzive</w:t>
            </w: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tabs>
                <w:tab w:val="left" w:pos="131"/>
              </w:tabs>
              <w:spacing w:before="20" w:after="0" w:line="240" w:lineRule="auto"/>
              <w:ind w:left="131"/>
              <w:jc w:val="both"/>
              <w:rPr>
                <w:rFonts w:ascii="Times New Roman" w:eastAsia="Calibri" w:hAnsi="Times New Roman" w:cs="Times New Roman"/>
              </w:rPr>
            </w:pPr>
            <w:r w:rsidRPr="003D495D">
              <w:rPr>
                <w:rFonts w:ascii="Times New Roman" w:eastAsia="Calibri" w:hAnsi="Times New Roman" w:cs="Times New Roman"/>
              </w:rPr>
              <w:lastRenderedPageBreak/>
              <w:t>Asigurarea activităţii continue a liceelor</w:t>
            </w:r>
          </w:p>
          <w:p w:rsidR="003D495D" w:rsidRPr="003D495D" w:rsidRDefault="003D495D" w:rsidP="003D495D">
            <w:pPr>
              <w:spacing w:before="20" w:after="0" w:line="240" w:lineRule="auto"/>
              <w:ind w:left="273"/>
              <w:jc w:val="both"/>
              <w:rPr>
                <w:rFonts w:ascii="Times New Roman" w:eastAsia="Calibri" w:hAnsi="Times New Roman" w:cs="Times New Roman"/>
              </w:rPr>
            </w:pPr>
            <w:r w:rsidRPr="003D495D">
              <w:rPr>
                <w:rFonts w:ascii="Times New Roman" w:eastAsia="Calibri" w:hAnsi="Times New Roman" w:cs="Times New Roman"/>
              </w:rPr>
              <w:t>- consolidarea şi dezvoltarea bazei tehnico-materiale a instituţiilor;</w:t>
            </w:r>
          </w:p>
        </w:tc>
        <w:tc>
          <w:tcPr>
            <w:tcW w:w="1789"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Circa 13,5 la sută din numărul total a elevilor studiază în învăţămîntul liceal</w:t>
            </w:r>
          </w:p>
        </w:tc>
      </w:tr>
      <w:tr w:rsidR="003D495D" w:rsidRPr="003D495D" w:rsidTr="009D346D">
        <w:trPr>
          <w:trHeight w:val="103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before="20" w:after="0" w:line="240" w:lineRule="auto"/>
              <w:ind w:left="273"/>
              <w:jc w:val="both"/>
              <w:rPr>
                <w:rFonts w:ascii="Times New Roman" w:eastAsia="Calibri" w:hAnsi="Times New Roman" w:cs="Times New Roman"/>
              </w:rPr>
            </w:pPr>
          </w:p>
          <w:p w:rsidR="003D495D" w:rsidRPr="003D495D" w:rsidRDefault="003D495D" w:rsidP="003D495D">
            <w:pPr>
              <w:tabs>
                <w:tab w:val="left" w:pos="305"/>
              </w:tabs>
              <w:spacing w:before="20" w:after="0" w:line="240" w:lineRule="auto"/>
              <w:ind w:left="273"/>
              <w:jc w:val="both"/>
              <w:rPr>
                <w:rFonts w:ascii="Times New Roman" w:eastAsia="Calibri" w:hAnsi="Times New Roman" w:cs="Times New Roman"/>
              </w:rPr>
            </w:pPr>
            <w:r w:rsidRPr="003D495D">
              <w:rPr>
                <w:rFonts w:ascii="Times New Roman" w:eastAsia="Calibri" w:hAnsi="Times New Roman" w:cs="Times New Roman"/>
              </w:rPr>
              <w:t>- asigurarea programelor de alimentare;</w:t>
            </w:r>
          </w:p>
        </w:tc>
        <w:tc>
          <w:tcPr>
            <w:tcW w:w="1789"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rPr>
            </w:pPr>
            <w:r w:rsidRPr="003D495D">
              <w:rPr>
                <w:rFonts w:ascii="Times New Roman" w:eastAsia="Calibri" w:hAnsi="Times New Roman" w:cs="Times New Roman"/>
                <w:szCs w:val="20"/>
              </w:rPr>
              <w:t xml:space="preserve">- </w:t>
            </w:r>
            <w:r w:rsidRPr="003D495D">
              <w:rPr>
                <w:rFonts w:ascii="Times New Roman" w:eastAsia="Calibri" w:hAnsi="Times New Roman" w:cs="Times New Roman"/>
              </w:rPr>
              <w:t>100 % de elevi din treapta primară din cadrul liceelor, incluşi în programele anuale de alimentare</w:t>
            </w:r>
          </w:p>
        </w:tc>
      </w:tr>
      <w:tr w:rsidR="003D495D" w:rsidRPr="003D495D" w:rsidTr="009D346D">
        <w:trPr>
          <w:trHeight w:val="64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before="20" w:after="0" w:line="240" w:lineRule="auto"/>
              <w:ind w:left="273"/>
              <w:jc w:val="both"/>
              <w:rPr>
                <w:rFonts w:ascii="Times New Roman" w:eastAsia="Calibri" w:hAnsi="Times New Roman" w:cs="Times New Roman"/>
              </w:rPr>
            </w:pPr>
            <w:r w:rsidRPr="003D495D">
              <w:rPr>
                <w:rFonts w:ascii="Times New Roman" w:eastAsia="Calibri" w:hAnsi="Times New Roman" w:cs="Times New Roman"/>
              </w:rPr>
              <w:t>- dezvoltarea serviciilor de educaţie incluzivă în licee;</w:t>
            </w:r>
          </w:p>
        </w:tc>
        <w:tc>
          <w:tcPr>
            <w:tcW w:w="1789"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bCs/>
                <w:szCs w:val="20"/>
              </w:rPr>
              <w:t>- 10 la sută a accesului copiilor cu CES încadraţi anual în învăţămîntul liceal</w:t>
            </w:r>
          </w:p>
        </w:tc>
      </w:tr>
      <w:tr w:rsidR="003D495D" w:rsidRPr="003D495D" w:rsidTr="009D346D">
        <w:trPr>
          <w:trHeight w:val="160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before="20" w:after="0" w:line="240" w:lineRule="auto"/>
              <w:ind w:left="273"/>
              <w:jc w:val="both"/>
              <w:rPr>
                <w:rFonts w:ascii="Times New Roman" w:eastAsia="Calibri" w:hAnsi="Times New Roman" w:cs="Times New Roman"/>
              </w:rPr>
            </w:pPr>
            <w:r w:rsidRPr="003D495D">
              <w:rPr>
                <w:rFonts w:ascii="Times New Roman" w:eastAsia="Calibri" w:hAnsi="Times New Roman" w:cs="Times New Roman"/>
              </w:rPr>
              <w:t>- redimensionarea reţelei instituţiilor liceale de către organele locale de specialitate în domeniul învăţămîntului (OLSDI) în baza strategiei (raionale) de dezvoltare a învăţămîntului</w:t>
            </w:r>
          </w:p>
        </w:tc>
        <w:tc>
          <w:tcPr>
            <w:tcW w:w="1789"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- 99 la suta de elevi asiguraţi cu transport şcolar</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Rețelele instituțiilor liceale redimensionate de către organele locale</w:t>
            </w:r>
          </w:p>
        </w:tc>
      </w:tr>
      <w:tr w:rsidR="003D495D" w:rsidRPr="003D495D" w:rsidTr="009D346D">
        <w:trPr>
          <w:trHeight w:val="228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Perfecţionarea actelor normative privind implementarea educaţiei incluzive</w:t>
            </w:r>
          </w:p>
        </w:tc>
        <w:tc>
          <w:tcPr>
            <w:tcW w:w="1789"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Cadru normativ privind copii cu CES elaborat în anii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-2018</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- 30 la sută de copii evaluați</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Evaluarea 100 % a dosarelor depuse în termen real cu acordarea categoriei CES corespunzătoare</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- 10 servicii de suport create </w:t>
            </w:r>
          </w:p>
        </w:tc>
      </w:tr>
      <w:tr w:rsidR="003D495D" w:rsidRPr="003D495D" w:rsidTr="009D346D">
        <w:trPr>
          <w:trHeight w:val="75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Renovarea instituțiilor de învățămînt liceal</w:t>
            </w:r>
          </w:p>
        </w:tc>
        <w:tc>
          <w:tcPr>
            <w:tcW w:w="1789"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- 17 din instituţii de învăţămînt liceal renovate</w:t>
            </w:r>
          </w:p>
        </w:tc>
      </w:tr>
      <w:tr w:rsidR="003D495D" w:rsidRPr="003D495D" w:rsidTr="009D346D">
        <w:trPr>
          <w:trHeight w:val="42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B. Acţiuni ce duc la o utilizare mai eficace şi eficientă a resurselor</w:t>
            </w:r>
          </w:p>
        </w:tc>
      </w:tr>
      <w:tr w:rsidR="003D495D" w:rsidRPr="003D495D" w:rsidTr="009D346D">
        <w:trPr>
          <w:trHeight w:val="412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Redimensionarea reţelei instituţiilor de învăţămînt în corespundere cu:</w:t>
            </w:r>
          </w:p>
          <w:p w:rsidR="003D495D" w:rsidRPr="003D495D" w:rsidRDefault="003D495D" w:rsidP="003D495D">
            <w:pPr>
              <w:spacing w:after="0" w:line="240" w:lineRule="auto"/>
              <w:ind w:left="131"/>
              <w:rPr>
                <w:rFonts w:ascii="Times New Roman" w:eastAsia="Calibri" w:hAnsi="Times New Roman" w:cs="Times New Roman"/>
                <w:szCs w:val="20"/>
              </w:rPr>
            </w:pPr>
            <w:r w:rsidRPr="003D495D">
              <w:rPr>
                <w:rFonts w:ascii="Times New Roman" w:eastAsia="Calibri" w:hAnsi="Times New Roman" w:cs="Times New Roman"/>
                <w:szCs w:val="20"/>
              </w:rPr>
              <w:t>- standardele de calitate a instituţiilor de învăţămînt, cu necesităţile educaţionale locale/ regionale şi asigurării accesului la studii liceale de calitate pentru fiecare;</w:t>
            </w:r>
          </w:p>
          <w:p w:rsidR="003D495D" w:rsidRPr="003D495D" w:rsidRDefault="003D495D" w:rsidP="003D495D">
            <w:pPr>
              <w:spacing w:after="0" w:line="240" w:lineRule="auto"/>
              <w:ind w:left="131"/>
              <w:rPr>
                <w:rFonts w:ascii="Times New Roman" w:eastAsia="Calibri" w:hAnsi="Times New Roman" w:cs="Times New Roman"/>
                <w:szCs w:val="20"/>
              </w:rPr>
            </w:pPr>
            <w:r w:rsidRPr="003D495D">
              <w:rPr>
                <w:rFonts w:ascii="Times New Roman" w:eastAsia="Calibri" w:hAnsi="Times New Roman" w:cs="Times New Roman"/>
                <w:szCs w:val="20"/>
              </w:rPr>
              <w:t>- rezultatele evaluărilor interne şi externe ale serviciilor educaţionale prestate de către instituţiile liceale;</w:t>
            </w:r>
          </w:p>
        </w:tc>
        <w:tc>
          <w:tcPr>
            <w:tcW w:w="1789"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- 30, 50, 70  la sută de instituții de circumscripție care corespund standardelor de calitate corespunzător în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 xml:space="preserve"> 2017, 2018,2019</w:t>
            </w:r>
          </w:p>
        </w:tc>
      </w:tr>
      <w:tr w:rsidR="003D495D" w:rsidRPr="003D495D" w:rsidTr="009D346D">
        <w:trPr>
          <w:trHeight w:val="73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Elaborarea cadrului normativ pentru reglementarea activităților sportive specializate în liceele cu profil sportiv</w:t>
            </w:r>
          </w:p>
        </w:tc>
        <w:tc>
          <w:tcPr>
            <w:tcW w:w="1789"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Cadru normativ elaborat</w:t>
            </w:r>
          </w:p>
        </w:tc>
      </w:tr>
      <w:tr w:rsidR="003D495D" w:rsidRPr="003D495D" w:rsidTr="009D346D">
        <w:trPr>
          <w:trHeight w:val="502"/>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rPr>
            </w:pPr>
            <w:r w:rsidRPr="003D495D">
              <w:rPr>
                <w:rFonts w:ascii="Times New Roman" w:eastAsia="Calibri" w:hAnsi="Times New Roman" w:cs="Times New Roman"/>
              </w:rPr>
              <w:t>Elaborarea coeficienților pentru tipurile de grupuri CES</w:t>
            </w:r>
          </w:p>
        </w:tc>
        <w:tc>
          <w:tcPr>
            <w:tcW w:w="1789"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Coeficienți elaborați la sfîrșitul anului </w:t>
            </w:r>
            <w:r w:rsidRPr="003D495D">
              <w:rPr>
                <w:rFonts w:ascii="Times New Roman" w:eastAsia="Calibri" w:hAnsi="Times New Roman" w:cs="Times New Roman"/>
                <w:color w:val="FF0000"/>
                <w:szCs w:val="20"/>
              </w:rPr>
              <w:t>2016</w:t>
            </w:r>
          </w:p>
        </w:tc>
      </w:tr>
      <w:tr w:rsidR="003D495D" w:rsidRPr="003D495D" w:rsidTr="009D346D">
        <w:trPr>
          <w:trHeight w:val="100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rPr>
            </w:pPr>
            <w:r w:rsidRPr="003D495D">
              <w:rPr>
                <w:rFonts w:ascii="Times New Roman" w:eastAsia="Calibri" w:hAnsi="Times New Roman" w:cs="Times New Roman"/>
              </w:rPr>
              <w:t>Ajustarea formulei de finanțare reieșind din necesitățile educației incluzive</w:t>
            </w:r>
          </w:p>
        </w:tc>
        <w:tc>
          <w:tcPr>
            <w:tcW w:w="1789"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contextualSpacing/>
              <w:jc w:val="both"/>
              <w:rPr>
                <w:rFonts w:ascii="Times New Roman" w:eastAsia="Calibri" w:hAnsi="Times New Roman" w:cs="Times New Roman"/>
              </w:rPr>
            </w:pPr>
            <w:r w:rsidRPr="003D495D">
              <w:rPr>
                <w:rFonts w:ascii="Times New Roman" w:eastAsia="Calibri" w:hAnsi="Times New Roman" w:cs="Times New Roman"/>
                <w:szCs w:val="20"/>
              </w:rPr>
              <w:t>- Proiect elaborat in anul 2017</w:t>
            </w:r>
          </w:p>
        </w:tc>
      </w:tr>
      <w:tr w:rsidR="003D495D" w:rsidRPr="003D495D" w:rsidTr="009D346D">
        <w:trPr>
          <w:trHeight w:val="397"/>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C. Acţiuni noi identificate pentru anii 2016-2018</w:t>
            </w:r>
          </w:p>
        </w:tc>
      </w:tr>
      <w:tr w:rsidR="003D495D" w:rsidRPr="003D495D" w:rsidTr="009D346D">
        <w:trPr>
          <w:trHeight w:val="824"/>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Majorarea cheltuielilor de personal, conform politicii salariale</w:t>
            </w:r>
          </w:p>
        </w:tc>
        <w:tc>
          <w:tcPr>
            <w:tcW w:w="1789"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Proiect de lege, Hotărîre de Guvern prezentate Guvernului în anul </w:t>
            </w:r>
            <w:r w:rsidRPr="003D495D">
              <w:rPr>
                <w:rFonts w:ascii="Times New Roman" w:eastAsia="Calibri" w:hAnsi="Times New Roman" w:cs="Times New Roman"/>
                <w:color w:val="FF0000"/>
                <w:szCs w:val="20"/>
              </w:rPr>
              <w:t>2016</w:t>
            </w:r>
          </w:p>
        </w:tc>
      </w:tr>
      <w:tr w:rsidR="003D495D" w:rsidRPr="003D495D" w:rsidTr="009D346D">
        <w:trPr>
          <w:trHeight w:val="1005"/>
        </w:trPr>
        <w:tc>
          <w:tcPr>
            <w:tcW w:w="3372" w:type="dxa"/>
            <w:vMerge/>
            <w:tcBorders>
              <w:left w:val="single" w:sz="4" w:space="0" w:color="auto"/>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Dotarea instituţiilor de învăţămînt de tip liceal cu echipament TIC şi asigurarea mentenanţei acestuia</w:t>
            </w:r>
          </w:p>
        </w:tc>
        <w:tc>
          <w:tcPr>
            <w:tcW w:w="1789" w:type="dxa"/>
            <w:tcBorders>
              <w:top w:val="single" w:sz="4" w:space="0" w:color="auto"/>
              <w:left w:val="nil"/>
              <w:bottom w:val="single" w:sz="4" w:space="0" w:color="auto"/>
              <w:right w:val="single" w:sz="4" w:space="0" w:color="auto"/>
            </w:tcBorders>
            <w:shd w:val="clear" w:color="auto" w:fill="FFFFFF" w:themeFill="background1"/>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rPr>
              <w:t xml:space="preserve">- 16, 14, 12 elevi per computer, corespunzător în anii </w:t>
            </w:r>
            <w:r w:rsidRPr="003D495D">
              <w:rPr>
                <w:rFonts w:ascii="Times New Roman" w:eastAsia="Calibri" w:hAnsi="Times New Roman" w:cs="Times New Roman"/>
                <w:color w:val="FF0000"/>
              </w:rPr>
              <w:t>2016,</w:t>
            </w:r>
            <w:r w:rsidRPr="003D495D">
              <w:rPr>
                <w:rFonts w:ascii="Times New Roman" w:eastAsia="Calibri" w:hAnsi="Times New Roman" w:cs="Times New Roman"/>
              </w:rPr>
              <w:t xml:space="preserve"> 2017, 2018,2019</w:t>
            </w:r>
          </w:p>
          <w:p w:rsidR="003D495D" w:rsidRPr="003D495D" w:rsidRDefault="003D495D" w:rsidP="003D495D">
            <w:pPr>
              <w:spacing w:after="0" w:line="240" w:lineRule="auto"/>
              <w:rPr>
                <w:rFonts w:ascii="Times New Roman" w:eastAsia="Calibri" w:hAnsi="Times New Roman" w:cs="Times New Roman"/>
              </w:rPr>
            </w:pPr>
            <w:r w:rsidRPr="003D495D">
              <w:rPr>
                <w:rFonts w:ascii="Times New Roman" w:eastAsia="Calibri" w:hAnsi="Times New Roman" w:cs="Times New Roman"/>
                <w:szCs w:val="20"/>
              </w:rPr>
              <w:t>- Utilizarea soft-urilor educaţionale în licee din aria curricular matematică şi ştiinţe</w:t>
            </w:r>
          </w:p>
        </w:tc>
      </w:tr>
      <w:tr w:rsidR="003D495D" w:rsidRPr="003D495D" w:rsidTr="009D346D">
        <w:trPr>
          <w:trHeight w:val="345"/>
        </w:trPr>
        <w:tc>
          <w:tcPr>
            <w:tcW w:w="3372" w:type="dxa"/>
            <w:tcBorders>
              <w:top w:val="single" w:sz="4" w:space="0" w:color="auto"/>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i/>
                <w:iCs/>
                <w:szCs w:val="20"/>
              </w:rPr>
            </w:pPr>
            <w:r w:rsidRPr="003D495D">
              <w:rPr>
                <w:rFonts w:ascii="Times New Roman" w:eastAsia="Calibri" w:hAnsi="Times New Roman" w:cs="Times New Roman"/>
                <w:b/>
                <w:bCs/>
                <w:i/>
                <w:iCs/>
                <w:szCs w:val="20"/>
              </w:rPr>
              <w:t>Costul subprogramului</w:t>
            </w:r>
          </w:p>
        </w:tc>
        <w:tc>
          <w:tcPr>
            <w:tcW w:w="3601" w:type="dxa"/>
            <w:gridSpan w:val="2"/>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789"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2889"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r>
      <w:tr w:rsidR="003D495D" w:rsidRPr="003D495D" w:rsidTr="009D346D">
        <w:trPr>
          <w:trHeight w:val="540"/>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lang w:eastAsia="ru-RU"/>
              </w:rPr>
            </w:pPr>
            <w:r w:rsidRPr="003D495D">
              <w:rPr>
                <w:rFonts w:ascii="Times New Roman" w:eastAsia="Calibri" w:hAnsi="Times New Roman" w:cs="Times New Roman"/>
                <w:b/>
                <w:bCs/>
                <w:szCs w:val="20"/>
                <w:lang w:eastAsia="ru-RU"/>
              </w:rPr>
              <w:t xml:space="preserve">Subprogramul 08 „Învăţămînt profesional tehnic secundar” </w:t>
            </w:r>
            <w:r w:rsidRPr="003D495D">
              <w:rPr>
                <w:rFonts w:ascii="Times New Roman" w:eastAsia="Calibri" w:hAnsi="Times New Roman" w:cs="Times New Roman"/>
                <w:szCs w:val="20"/>
                <w:lang w:eastAsia="ru-RU"/>
              </w:rPr>
              <w:t xml:space="preserve">include activităţi ce ţin de organizarea procesului de instruire şi formare în şcolile profesionale. În baza </w:t>
            </w:r>
            <w:r w:rsidRPr="003D495D">
              <w:rPr>
                <w:rFonts w:ascii="Times New Roman" w:eastAsia="Calibri" w:hAnsi="Times New Roman" w:cs="Times New Roman"/>
                <w:i/>
                <w:iCs/>
                <w:szCs w:val="20"/>
                <w:lang w:eastAsia="ru-RU"/>
              </w:rPr>
              <w:t>Strategiei de dezvoltare a învăţământului vocaţional/tehnic pe anii 2013-2020</w:t>
            </w:r>
            <w:r w:rsidRPr="003D495D">
              <w:rPr>
                <w:rFonts w:ascii="Times New Roman" w:eastAsia="Calibri" w:hAnsi="Times New Roman" w:cs="Times New Roman"/>
                <w:szCs w:val="20"/>
                <w:lang w:eastAsia="ru-RU"/>
              </w:rPr>
              <w:t>, învăţămîntul profesional tehnic secundar va fi restructurat.</w:t>
            </w:r>
          </w:p>
        </w:tc>
      </w:tr>
      <w:tr w:rsidR="003D495D" w:rsidRPr="003D495D" w:rsidTr="009D346D">
        <w:trPr>
          <w:trHeight w:val="285"/>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lang w:eastAsia="ru-RU"/>
              </w:rPr>
            </w:pPr>
            <w:r w:rsidRPr="003D495D">
              <w:rPr>
                <w:rFonts w:ascii="Times New Roman" w:eastAsia="Calibri" w:hAnsi="Times New Roman" w:cs="Times New Roman"/>
                <w:b/>
                <w:bCs/>
                <w:szCs w:val="20"/>
                <w:lang w:eastAsia="ru-RU"/>
              </w:rPr>
              <w:lastRenderedPageBreak/>
              <w:t>Scopul subprogramului:</w:t>
            </w:r>
            <w:r w:rsidRPr="003D495D">
              <w:rPr>
                <w:rFonts w:ascii="Times New Roman" w:eastAsia="Calibri" w:hAnsi="Times New Roman" w:cs="Times New Roman"/>
                <w:szCs w:val="20"/>
                <w:lang w:eastAsia="ru-RU"/>
              </w:rPr>
              <w:t xml:space="preserve"> Formarea şi dezvoltarea unor abilităţi, competenţe şi aptitudini profesionale specifice instruirii cadrelor de muncitori calificaţi pentru ramurile economiei naţionale. </w:t>
            </w:r>
          </w:p>
        </w:tc>
      </w:tr>
      <w:tr w:rsidR="003D495D" w:rsidRPr="003D495D" w:rsidTr="009D346D">
        <w:trPr>
          <w:trHeight w:val="285"/>
        </w:trPr>
        <w:tc>
          <w:tcPr>
            <w:tcW w:w="3372" w:type="dxa"/>
            <w:tcBorders>
              <w:top w:val="nil"/>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Probleme cheie</w:t>
            </w:r>
          </w:p>
        </w:tc>
        <w:tc>
          <w:tcPr>
            <w:tcW w:w="11039" w:type="dxa"/>
            <w:gridSpan w:val="6"/>
            <w:tcBorders>
              <w:top w:val="nil"/>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Acţiuni curente</w:t>
            </w:r>
          </w:p>
        </w:tc>
      </w:tr>
      <w:tr w:rsidR="003D495D" w:rsidRPr="003D495D" w:rsidTr="009D346D">
        <w:trPr>
          <w:trHeight w:val="757"/>
        </w:trPr>
        <w:tc>
          <w:tcPr>
            <w:tcW w:w="3372" w:type="dxa"/>
            <w:vMerge w:val="restart"/>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Necorespunderea structurii existente a reţelei instituţiilor de învăţămînt profesional tehnic secundar cu cerinţele actuale ale pieţei muncii</w:t>
            </w: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Susţinerea activităţii instituţiilor de învăţămînt  profesional tehnic secundar (c</w:t>
            </w:r>
            <w:r w:rsidRPr="003D495D">
              <w:rPr>
                <w:rFonts w:ascii="Times New Roman" w:eastAsia="Calibri" w:hAnsi="Times New Roman" w:cs="Times New Roman"/>
                <w:szCs w:val="20"/>
              </w:rPr>
              <w:t>onform costului per program per elev).</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shd w:val="clear" w:color="000000" w:fill="FFFFFF"/>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shd w:val="clear" w:color="000000" w:fill="FFFFFF"/>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rPr>
              <w:t xml:space="preserve">- 11,0 mii de elevi înmatriculaţi anual în </w:t>
            </w:r>
            <w:r w:rsidRPr="003D495D">
              <w:rPr>
                <w:rFonts w:ascii="Times New Roman" w:eastAsia="Calibri" w:hAnsi="Times New Roman" w:cs="Times New Roman"/>
                <w:szCs w:val="20"/>
                <w:lang w:eastAsia="ru-RU"/>
              </w:rPr>
              <w:t xml:space="preserve">şcolile profesionale </w:t>
            </w:r>
          </w:p>
        </w:tc>
      </w:tr>
      <w:tr w:rsidR="003D495D" w:rsidRPr="003D495D" w:rsidTr="009D346D">
        <w:trPr>
          <w:trHeight w:val="465"/>
        </w:trPr>
        <w:tc>
          <w:tcPr>
            <w:tcW w:w="3372" w:type="dxa"/>
            <w:vMerge/>
            <w:tcBorders>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renovarea bazei tehnico-materiale a căminelor</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- 5 la sută de cămine renovate anual</w:t>
            </w:r>
          </w:p>
        </w:tc>
      </w:tr>
      <w:tr w:rsidR="003D495D" w:rsidRPr="003D495D" w:rsidTr="009D346D">
        <w:trPr>
          <w:trHeight w:val="601"/>
        </w:trPr>
        <w:tc>
          <w:tcPr>
            <w:tcW w:w="3372" w:type="dxa"/>
            <w:vMerge w:val="restart"/>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Necesitatea de reactualizare a Nomenclatorului meseriilor (profesiilor) pentru pregătirea cadrelor de formare profesională</w:t>
            </w: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Lipsa unor instituţii model (lideri în domeniul lor de competenţă) specializate pe domeniile economiei naţionale în procesul de formare profesională</w:t>
            </w: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Capacităţi reduse ale Centrului Republican de Dezvoltare a Învăţământului Profesional, structură responsabilă de asigurarea ştiinţifică, metodologică şi curriculară a învăţământului profesional tehnic secundar</w:t>
            </w: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Baza materială precară, cu echipament învechit, inclusiv echipament TIC, care nu asigură dezvoltarea abilităţilor profesionale</w:t>
            </w: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B. Obiective de politici pe termen mediu</w:t>
            </w: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Elaborarea planului de restructurare a reţelei de instituţii de învăţămînt </w:t>
            </w:r>
            <w:r w:rsidRPr="003D495D">
              <w:rPr>
                <w:rFonts w:ascii="Times New Roman" w:eastAsia="Calibri" w:hAnsi="Times New Roman" w:cs="Times New Roman"/>
                <w:szCs w:val="20"/>
                <w:lang w:eastAsia="ru-RU"/>
              </w:rPr>
              <w:t>profesional tehnic secundar</w:t>
            </w:r>
            <w:r w:rsidRPr="003D495D">
              <w:rPr>
                <w:rFonts w:ascii="Times New Roman" w:eastAsia="Calibri" w:hAnsi="Times New Roman" w:cs="Times New Roman"/>
                <w:szCs w:val="20"/>
              </w:rPr>
              <w:t xml:space="preserve"> şi postsecundar în dependenţă de particularităţile teritoriale ale pieţei muncii</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Elaborarea şi implementarea către anul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 xml:space="preserve"> a Standardelor Ocupaţionale </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Consolidarea capacităţilor/crearea Comitetelor sectoriale pentru principalele ramuri ale economiei naţionale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Instituirea a 10 centre de excelenţă (lideri în domeniul lor de competenţă) specializate pe domeniile economiei naţionale pentru procesul de formare profesională</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Asigurarea capacităţilor de coordonare metodologică în învăţămîntul </w:t>
            </w:r>
            <w:r w:rsidRPr="003D495D">
              <w:rPr>
                <w:rFonts w:ascii="Times New Roman" w:eastAsia="Calibri" w:hAnsi="Times New Roman" w:cs="Times New Roman"/>
                <w:szCs w:val="20"/>
                <w:lang w:eastAsia="ru-RU"/>
              </w:rPr>
              <w:t>profesional tehnic secundar</w:t>
            </w:r>
            <w:r w:rsidRPr="003D495D">
              <w:rPr>
                <w:rFonts w:ascii="Times New Roman" w:eastAsia="Calibri" w:hAnsi="Times New Roman" w:cs="Times New Roman"/>
                <w:szCs w:val="20"/>
              </w:rPr>
              <w:t xml:space="preserve"> şi postsecundar prin consolidarea capacităţilor Centrului Republican de Dezvoltare a Învăţământului Profesional</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 Asigurarea elaborării suporturilor de curs necesare şi dotarea bibliotecilor cu literatură de specialitate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Sporirea atractivităţii învăţămîntului </w:t>
            </w:r>
            <w:r w:rsidRPr="003D495D">
              <w:rPr>
                <w:rFonts w:ascii="Times New Roman" w:eastAsia="Calibri" w:hAnsi="Times New Roman" w:cs="Times New Roman"/>
                <w:szCs w:val="20"/>
                <w:lang w:eastAsia="ru-RU"/>
              </w:rPr>
              <w:t>profesional tehnic secundar</w:t>
            </w:r>
            <w:r w:rsidRPr="003D495D">
              <w:rPr>
                <w:rFonts w:ascii="Times New Roman" w:eastAsia="Calibri" w:hAnsi="Times New Roman" w:cs="Times New Roman"/>
                <w:szCs w:val="20"/>
              </w:rPr>
              <w:t xml:space="preserve"> şi postsecundar prin promovarea cursurilor de antreprenoriat, tehnologia informaţiei, limbi străine (engleză, rusă) </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rPr>
              <w:t>- Majorarea ponderii instituţiilor, inclusiv şi a căminelor instituţiilor, ce au beneficiat de renovarea bazei tehnico-materiale şi didactice cu 5% anual</w:t>
            </w: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lastRenderedPageBreak/>
              <w:t>B. Acţiuni ce duc la o utilizare mai eficace şi eficientă a resurselor</w:t>
            </w:r>
          </w:p>
        </w:tc>
      </w:tr>
      <w:tr w:rsidR="003D495D" w:rsidRPr="003D495D" w:rsidTr="009D346D">
        <w:trPr>
          <w:trHeight w:val="1082"/>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szCs w:val="20"/>
              </w:rPr>
              <w:t xml:space="preserve">Implementarea Planului de restructurare a reţelei de instituţii de </w:t>
            </w:r>
            <w:r w:rsidRPr="003D495D">
              <w:rPr>
                <w:rFonts w:ascii="Times New Roman" w:eastAsia="Calibri" w:hAnsi="Times New Roman" w:cs="Times New Roman"/>
                <w:szCs w:val="20"/>
                <w:lang w:eastAsia="ru-RU"/>
              </w:rPr>
              <w:t>învăţămînt  profesional tehnic secundar</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Plan de restructurare implementat în anul 2017</w:t>
            </w:r>
          </w:p>
        </w:tc>
      </w:tr>
      <w:tr w:rsidR="003D495D" w:rsidRPr="003D495D" w:rsidTr="009D346D">
        <w:trPr>
          <w:trHeight w:val="154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bCs/>
                <w:szCs w:val="20"/>
              </w:rPr>
              <w:t xml:space="preserve">Implementarea </w:t>
            </w:r>
            <w:r w:rsidRPr="003D495D">
              <w:rPr>
                <w:rFonts w:ascii="Times New Roman" w:eastAsia="Calibri" w:hAnsi="Times New Roman" w:cs="Times New Roman"/>
                <w:szCs w:val="20"/>
                <w:lang w:eastAsia="ru-RU"/>
              </w:rPr>
              <w:t>Nomenclatorului meseriilor (profesiilor) pentru pregătirea cadrelor  de formare profesională, a Cadrului Naţional al calificărilor şi aprobarea standardelor ocupaţionale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tabs>
                <w:tab w:val="left" w:pos="2185"/>
              </w:tabs>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rPr>
              <w:t xml:space="preserve">- </w:t>
            </w:r>
            <w:r w:rsidRPr="003D495D">
              <w:rPr>
                <w:rFonts w:ascii="Times New Roman" w:eastAsia="Calibri" w:hAnsi="Times New Roman" w:cs="Times New Roman"/>
                <w:szCs w:val="20"/>
                <w:lang w:eastAsia="ru-RU"/>
              </w:rPr>
              <w:t>Nomenclatorul meseriilor (profesiilor) pentru pregătirea cadrelor  de formare profesională implementat</w:t>
            </w:r>
          </w:p>
        </w:tc>
      </w:tr>
      <w:tr w:rsidR="003D495D" w:rsidRPr="003D495D" w:rsidTr="009D346D">
        <w:trPr>
          <w:trHeight w:val="1331"/>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Revizuirea şi actualizarea actelor normative privind reglementarea activităţii antreprenorială şi a instituţiilor de învăţămînt </w:t>
            </w:r>
            <w:r w:rsidRPr="003D495D">
              <w:rPr>
                <w:rFonts w:ascii="Times New Roman" w:eastAsia="Calibri" w:hAnsi="Times New Roman" w:cs="Times New Roman"/>
                <w:szCs w:val="20"/>
                <w:lang w:eastAsia="ru-RU"/>
              </w:rPr>
              <w:t>profesional tehnic secundar</w:t>
            </w:r>
            <w:r w:rsidRPr="003D495D">
              <w:rPr>
                <w:rFonts w:ascii="Times New Roman" w:eastAsia="Calibri" w:hAnsi="Times New Roman" w:cs="Times New Roman"/>
                <w:szCs w:val="20"/>
              </w:rPr>
              <w:t xml:space="preserve"> şi postsecundar</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tabs>
                <w:tab w:val="left" w:pos="2185"/>
              </w:tabs>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Cadru normativ revizuit/actualizat în anul 2016</w:t>
            </w:r>
          </w:p>
        </w:tc>
      </w:tr>
      <w:tr w:rsidR="003D495D" w:rsidRPr="003D495D" w:rsidTr="009D346D">
        <w:trPr>
          <w:trHeight w:val="58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Elaborarea documentaţiei de proiectare a Centrelor de excelenţă</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tabs>
                <w:tab w:val="left" w:pos="2185"/>
              </w:tabs>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xml:space="preserve">- Documentația de proiectare elaborată în anii </w:t>
            </w:r>
            <w:r w:rsidRPr="003D495D">
              <w:rPr>
                <w:rFonts w:ascii="Times New Roman" w:eastAsia="Calibri" w:hAnsi="Times New Roman" w:cs="Times New Roman"/>
                <w:color w:val="FF0000"/>
                <w:szCs w:val="20"/>
                <w:lang w:eastAsia="ru-RU"/>
              </w:rPr>
              <w:t>2016</w:t>
            </w:r>
            <w:r w:rsidRPr="003D495D">
              <w:rPr>
                <w:rFonts w:ascii="Times New Roman" w:eastAsia="Calibri" w:hAnsi="Times New Roman" w:cs="Times New Roman"/>
                <w:szCs w:val="20"/>
                <w:lang w:eastAsia="ru-RU"/>
              </w:rPr>
              <w:t>-2018</w:t>
            </w:r>
          </w:p>
        </w:tc>
      </w:tr>
      <w:tr w:rsidR="003D495D" w:rsidRPr="003D495D" w:rsidTr="009D346D">
        <w:trPr>
          <w:trHeight w:val="1033"/>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Reconstrucţia (renovarea şi mobilarea) Centrelor de excelenţă specializate în domeniul/domeniile economiei naţionale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- 5 Centre de excelen</w:t>
            </w:r>
            <w:r w:rsidRPr="003D495D">
              <w:rPr>
                <w:rFonts w:ascii="Times New Roman" w:eastAsia="Times New Roman" w:hAnsi="Times New Roman" w:cs="Times New Roman"/>
                <w:szCs w:val="20"/>
                <w:lang w:eastAsia="ru-RU"/>
              </w:rPr>
              <w:t>ț</w:t>
            </w:r>
            <w:r w:rsidRPr="003D495D">
              <w:rPr>
                <w:rFonts w:ascii="Times New Roman" w:eastAsia="Calibri" w:hAnsi="Times New Roman" w:cs="Times New Roman"/>
                <w:szCs w:val="20"/>
                <w:lang w:eastAsia="ru-RU"/>
              </w:rPr>
              <w:t>ă renovate  pînă în anul 2017</w:t>
            </w: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- 5 Centre de excelen</w:t>
            </w:r>
            <w:r w:rsidRPr="003D495D">
              <w:rPr>
                <w:rFonts w:ascii="Times New Roman" w:eastAsia="Times New Roman" w:hAnsi="Times New Roman" w:cs="Times New Roman"/>
                <w:szCs w:val="20"/>
                <w:lang w:eastAsia="ru-RU"/>
              </w:rPr>
              <w:t>ț</w:t>
            </w:r>
            <w:r w:rsidRPr="003D495D">
              <w:rPr>
                <w:rFonts w:ascii="Times New Roman" w:eastAsia="Calibri" w:hAnsi="Times New Roman" w:cs="Times New Roman"/>
                <w:szCs w:val="20"/>
                <w:lang w:eastAsia="ru-RU"/>
              </w:rPr>
              <w:t>ă renovate pînă în anul 2018</w:t>
            </w:r>
          </w:p>
        </w:tc>
      </w:tr>
      <w:tr w:rsidR="003D495D" w:rsidRPr="003D495D" w:rsidTr="009D346D">
        <w:trPr>
          <w:trHeight w:val="154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Renovarea căminelor de pe lîngă Centrele de excelenţă</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- 3 cămine ale Centrelor de excelenţă renovate, până în anul 2017</w:t>
            </w: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- 7 cămine ale Centrelor de excelenţă renovate, până în anul 2018</w:t>
            </w:r>
          </w:p>
        </w:tc>
      </w:tr>
      <w:tr w:rsidR="003D495D" w:rsidRPr="003D495D" w:rsidTr="009D346D">
        <w:trPr>
          <w:trHeight w:val="1743"/>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Renovarea instituţiilor de învăţămînt </w:t>
            </w:r>
            <w:r w:rsidRPr="003D495D">
              <w:rPr>
                <w:rFonts w:ascii="Times New Roman" w:eastAsia="Calibri" w:hAnsi="Times New Roman" w:cs="Times New Roman"/>
                <w:szCs w:val="20"/>
                <w:lang w:eastAsia="ru-RU"/>
              </w:rPr>
              <w:t>profesional tehnic secundar</w:t>
            </w:r>
            <w:r w:rsidRPr="003D495D">
              <w:rPr>
                <w:rFonts w:ascii="Times New Roman" w:eastAsia="Calibri" w:hAnsi="Times New Roman" w:cs="Times New Roman"/>
                <w:szCs w:val="20"/>
              </w:rPr>
              <w:t xml:space="preserve"> şi postsecundar conform Planului de Restructurare, exceptînd Centrele de excelență (2.760 mii MDL per instituţie)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color w:val="FF0000"/>
                <w:szCs w:val="20"/>
                <w:lang w:eastAsia="ru-RU"/>
              </w:rPr>
            </w:pPr>
            <w:r w:rsidRPr="003D495D">
              <w:rPr>
                <w:rFonts w:ascii="Times New Roman" w:eastAsia="Calibri" w:hAnsi="Times New Roman" w:cs="Times New Roman"/>
                <w:szCs w:val="20"/>
                <w:lang w:eastAsia="ru-RU"/>
              </w:rPr>
              <w:t xml:space="preserve">- 8 instituţii renovate pînă în anul </w:t>
            </w:r>
            <w:r w:rsidRPr="003D495D">
              <w:rPr>
                <w:rFonts w:ascii="Times New Roman" w:eastAsia="Calibri" w:hAnsi="Times New Roman" w:cs="Times New Roman"/>
                <w:color w:val="FF0000"/>
                <w:szCs w:val="20"/>
                <w:lang w:eastAsia="ru-RU"/>
              </w:rPr>
              <w:t>2016</w:t>
            </w: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xml:space="preserve">- 25 de instituţii renovate pînă în anul 2017 </w:t>
            </w:r>
          </w:p>
          <w:p w:rsidR="003D495D" w:rsidRPr="003D495D" w:rsidRDefault="003D495D" w:rsidP="003D495D">
            <w:pPr>
              <w:tabs>
                <w:tab w:val="left" w:pos="2185"/>
              </w:tabs>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- 25 de instituţii renovate pînă în anul 2018</w:t>
            </w:r>
          </w:p>
        </w:tc>
      </w:tr>
      <w:tr w:rsidR="003D495D" w:rsidRPr="003D495D" w:rsidTr="009D346D">
        <w:trPr>
          <w:trHeight w:val="156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Consolidarea capacităţilor Centrului Republican de Dezvoltare a Învăţămîntului Profesional prin angajare a 5 unităţi de personal şi renovarea bazei tehnico/materiale a Centrului</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tabs>
                <w:tab w:val="left" w:pos="2185"/>
              </w:tabs>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xml:space="preserve">- Centrul Republican de Dezvoltare a Învăţămîntului Profesional – entitate eficientă, începînd cu anul </w:t>
            </w:r>
            <w:r w:rsidRPr="003D495D">
              <w:rPr>
                <w:rFonts w:ascii="Times New Roman" w:eastAsia="Calibri" w:hAnsi="Times New Roman" w:cs="Times New Roman"/>
                <w:color w:val="FF0000"/>
                <w:szCs w:val="20"/>
                <w:lang w:eastAsia="ru-RU"/>
              </w:rPr>
              <w:t>2016</w:t>
            </w:r>
          </w:p>
        </w:tc>
      </w:tr>
      <w:tr w:rsidR="003D495D" w:rsidRPr="003D495D" w:rsidTr="009D346D">
        <w:trPr>
          <w:trHeight w:val="78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Elaborarea a Standardelor Ocupaţionale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tabs>
                <w:tab w:val="left" w:pos="2185"/>
              </w:tabs>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xml:space="preserve">- 33 de standarde ocupaţionale elaborate şi aprobate în anul </w:t>
            </w:r>
            <w:r w:rsidRPr="003D495D">
              <w:rPr>
                <w:rFonts w:ascii="Times New Roman" w:eastAsia="Calibri" w:hAnsi="Times New Roman" w:cs="Times New Roman"/>
                <w:color w:val="FF0000"/>
                <w:szCs w:val="20"/>
                <w:lang w:eastAsia="ru-RU"/>
              </w:rPr>
              <w:t>2016</w:t>
            </w:r>
          </w:p>
        </w:tc>
      </w:tr>
      <w:tr w:rsidR="003D495D" w:rsidRPr="003D495D" w:rsidTr="009D346D">
        <w:trPr>
          <w:trHeight w:val="111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Elaborarea Cadrului Naţional al Calificărilor (CNC) pentru învăţămîntul </w:t>
            </w:r>
            <w:r w:rsidRPr="003D495D">
              <w:rPr>
                <w:rFonts w:ascii="Times New Roman" w:eastAsia="Calibri" w:hAnsi="Times New Roman" w:cs="Times New Roman"/>
                <w:szCs w:val="20"/>
                <w:lang w:eastAsia="ru-RU"/>
              </w:rPr>
              <w:t>profesional tehnic secundar</w:t>
            </w:r>
            <w:r w:rsidRPr="003D495D">
              <w:rPr>
                <w:rFonts w:ascii="Times New Roman" w:eastAsia="Calibri" w:hAnsi="Times New Roman" w:cs="Times New Roman"/>
                <w:szCs w:val="20"/>
              </w:rPr>
              <w:t xml:space="preserve"> (cîte 35 mii MDL per calificare)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tabs>
                <w:tab w:val="left" w:pos="2185"/>
              </w:tabs>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xml:space="preserve">- 33 calificări elaborate şi aprobate în anul </w:t>
            </w:r>
            <w:r w:rsidRPr="003D495D">
              <w:rPr>
                <w:rFonts w:ascii="Times New Roman" w:eastAsia="Calibri" w:hAnsi="Times New Roman" w:cs="Times New Roman"/>
                <w:color w:val="FF0000"/>
                <w:szCs w:val="20"/>
                <w:lang w:eastAsia="ru-RU"/>
              </w:rPr>
              <w:t>2016</w:t>
            </w:r>
          </w:p>
        </w:tc>
      </w:tr>
      <w:tr w:rsidR="003D495D" w:rsidRPr="003D495D" w:rsidTr="009D346D">
        <w:trPr>
          <w:trHeight w:val="102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Elaborarea curricula pentru sistemul de învăţămînt </w:t>
            </w:r>
            <w:r w:rsidRPr="003D495D">
              <w:rPr>
                <w:rFonts w:ascii="Times New Roman" w:eastAsia="Calibri" w:hAnsi="Times New Roman" w:cs="Times New Roman"/>
                <w:szCs w:val="20"/>
                <w:lang w:eastAsia="ru-RU"/>
              </w:rPr>
              <w:t>profesional tehnic secundar</w:t>
            </w:r>
            <w:r w:rsidRPr="003D495D">
              <w:rPr>
                <w:rFonts w:ascii="Times New Roman" w:eastAsia="Calibri" w:hAnsi="Times New Roman" w:cs="Times New Roman"/>
                <w:szCs w:val="20"/>
              </w:rPr>
              <w:t xml:space="preserve"> (cîte 60 mii MDL per curriculum)</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xml:space="preserve">- 19 curricula elaborate în anul </w:t>
            </w:r>
            <w:r w:rsidRPr="003D495D">
              <w:rPr>
                <w:rFonts w:ascii="Times New Roman" w:eastAsia="Calibri" w:hAnsi="Times New Roman" w:cs="Times New Roman"/>
                <w:color w:val="FF0000"/>
                <w:szCs w:val="20"/>
                <w:lang w:eastAsia="ru-RU"/>
              </w:rPr>
              <w:t>2016</w:t>
            </w:r>
            <w:r w:rsidRPr="003D495D">
              <w:rPr>
                <w:rFonts w:ascii="Times New Roman" w:eastAsia="Calibri" w:hAnsi="Times New Roman" w:cs="Times New Roman"/>
                <w:szCs w:val="20"/>
                <w:lang w:eastAsia="ru-RU"/>
              </w:rPr>
              <w:t xml:space="preserve"> </w:t>
            </w:r>
          </w:p>
          <w:p w:rsidR="003D495D" w:rsidRPr="003D495D" w:rsidRDefault="003D495D" w:rsidP="003D495D">
            <w:pPr>
              <w:tabs>
                <w:tab w:val="left" w:pos="2185"/>
              </w:tabs>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- 12 curricula elaborate în anul 2017</w:t>
            </w:r>
          </w:p>
        </w:tc>
      </w:tr>
      <w:tr w:rsidR="003D495D" w:rsidRPr="003D495D" w:rsidTr="009D346D">
        <w:trPr>
          <w:trHeight w:val="155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Editarea materialelor didactice, curricula, suporturilor de curs, materialelor instructive, materialelor pentru orientarea profesională, pentru formarea adulţilor şi dotarea bibliotecilor</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tabs>
                <w:tab w:val="left" w:pos="2185"/>
              </w:tabs>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- 15 la sută de instituţii asigurate</w:t>
            </w:r>
          </w:p>
        </w:tc>
      </w:tr>
      <w:tr w:rsidR="003D495D" w:rsidRPr="003D495D" w:rsidTr="009D346D">
        <w:trPr>
          <w:trHeight w:val="106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Dotarea cu echipament TI a instituţiilor de învăţămînt </w:t>
            </w:r>
            <w:r w:rsidRPr="003D495D">
              <w:rPr>
                <w:rFonts w:ascii="Times New Roman" w:eastAsia="Calibri" w:hAnsi="Times New Roman" w:cs="Times New Roman"/>
                <w:szCs w:val="20"/>
                <w:lang w:eastAsia="ru-RU"/>
              </w:rPr>
              <w:t>profesional tehnic secundar</w:t>
            </w:r>
            <w:r w:rsidRPr="003D495D">
              <w:rPr>
                <w:rFonts w:ascii="Times New Roman" w:eastAsia="Calibri" w:hAnsi="Times New Roman" w:cs="Times New Roman"/>
                <w:szCs w:val="20"/>
              </w:rPr>
              <w:t xml:space="preserve"> şi postsecundar conform planului de restructurare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tabs>
                <w:tab w:val="left" w:pos="2185"/>
              </w:tabs>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- 20 de laboratoare dotate pînă 2017</w:t>
            </w:r>
          </w:p>
        </w:tc>
      </w:tr>
      <w:tr w:rsidR="003D495D" w:rsidRPr="003D495D" w:rsidTr="009D346D">
        <w:trPr>
          <w:trHeight w:val="483"/>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Dotarea cu echipament şi utilaj necesar</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tabs>
                <w:tab w:val="left" w:pos="2185"/>
              </w:tabs>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- 20 de instituţii dotate cu echipament  către anul 2017</w:t>
            </w:r>
          </w:p>
        </w:tc>
      </w:tr>
      <w:tr w:rsidR="003D495D" w:rsidRPr="003D495D" w:rsidTr="009D346D">
        <w:trPr>
          <w:trHeight w:val="199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Achiziţionarea materialelor digitale educaţionale în învăţămîntul </w:t>
            </w:r>
            <w:r w:rsidRPr="003D495D">
              <w:rPr>
                <w:rFonts w:ascii="Times New Roman" w:eastAsia="Calibri" w:hAnsi="Times New Roman" w:cs="Times New Roman"/>
                <w:szCs w:val="20"/>
                <w:lang w:eastAsia="ru-RU"/>
              </w:rPr>
              <w:t>profesional tehnic secundar</w:t>
            </w:r>
            <w:r w:rsidRPr="003D495D">
              <w:rPr>
                <w:rFonts w:ascii="Times New Roman" w:eastAsia="Calibri" w:hAnsi="Times New Roman" w:cs="Times New Roman"/>
                <w:szCs w:val="20"/>
              </w:rPr>
              <w:t xml:space="preserve"> şi postsecundar, conectarea în reţea şi instruirea cadrelor didactice în aplicarea TIC în procesul de predare-învăţare-evaluare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p w:rsidR="003D495D" w:rsidRPr="003D495D" w:rsidRDefault="003D495D" w:rsidP="003D495D">
            <w:pPr>
              <w:spacing w:after="0" w:line="240" w:lineRule="auto"/>
              <w:jc w:val="center"/>
              <w:rPr>
                <w:rFonts w:ascii="Times New Roman" w:eastAsia="Calibri" w:hAnsi="Times New Roman" w:cs="Times New Roman"/>
                <w:szCs w:val="20"/>
              </w:rPr>
            </w:pPr>
          </w:p>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xml:space="preserve">- 3 meserii/profesii din învăţămîntul secundar profesional şi mediu de specialitate meserii/profesii </w:t>
            </w:r>
          </w:p>
          <w:p w:rsidR="003D495D" w:rsidRPr="003D495D" w:rsidRDefault="003D495D" w:rsidP="003D495D">
            <w:pPr>
              <w:tabs>
                <w:tab w:val="left" w:pos="2185"/>
              </w:tabs>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xml:space="preserve">care utilizează materiale digitale educaţionale în </w:t>
            </w:r>
            <w:r w:rsidRPr="003D495D">
              <w:rPr>
                <w:rFonts w:ascii="Times New Roman" w:eastAsia="Calibri" w:hAnsi="Times New Roman" w:cs="Times New Roman"/>
                <w:color w:val="FF0000"/>
                <w:szCs w:val="20"/>
                <w:lang w:eastAsia="ru-RU"/>
              </w:rPr>
              <w:t>2016</w:t>
            </w:r>
          </w:p>
        </w:tc>
      </w:tr>
      <w:tr w:rsidR="003D495D" w:rsidRPr="003D495D" w:rsidTr="009D346D">
        <w:trPr>
          <w:trHeight w:val="147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Instruirea cadrelor didactice pe domenii de formare profesională( în fiecare din cele 10 Centre de excelenţă) în baza noilor standarde, calificări, curricula elaborate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tabs>
                <w:tab w:val="left" w:pos="2185"/>
              </w:tabs>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- 60 la sută de cadre didactice (incl. maiştri) instruiţi către anul 2018</w:t>
            </w:r>
          </w:p>
        </w:tc>
      </w:tr>
      <w:tr w:rsidR="003D495D" w:rsidRPr="003D495D" w:rsidTr="009D346D">
        <w:trPr>
          <w:trHeight w:val="141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Implementarea în instituţiile de învăţămînt </w:t>
            </w:r>
            <w:r w:rsidRPr="003D495D">
              <w:rPr>
                <w:rFonts w:ascii="Times New Roman" w:eastAsia="Calibri" w:hAnsi="Times New Roman" w:cs="Times New Roman"/>
                <w:szCs w:val="20"/>
                <w:lang w:eastAsia="ru-RU"/>
              </w:rPr>
              <w:t>profesional tehnic secundar</w:t>
            </w:r>
            <w:r w:rsidRPr="003D495D">
              <w:rPr>
                <w:rFonts w:ascii="Times New Roman" w:eastAsia="Calibri" w:hAnsi="Times New Roman" w:cs="Times New Roman"/>
                <w:szCs w:val="20"/>
              </w:rPr>
              <w:t xml:space="preserve"> şi postsecundar a cursurilor de: tehnologia informaţiei, limbile străine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tabs>
                <w:tab w:val="left" w:pos="2185"/>
              </w:tabs>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xml:space="preserve">- 80 la sută din instituţii oferă cursuri de limbi străine și tehnologia informației în </w:t>
            </w:r>
            <w:r w:rsidRPr="003D495D">
              <w:rPr>
                <w:rFonts w:ascii="Times New Roman" w:eastAsia="Calibri" w:hAnsi="Times New Roman" w:cs="Times New Roman"/>
                <w:color w:val="FF0000"/>
                <w:szCs w:val="20"/>
                <w:lang w:eastAsia="ru-RU"/>
              </w:rPr>
              <w:t>2016</w:t>
            </w:r>
          </w:p>
        </w:tc>
      </w:tr>
      <w:tr w:rsidR="003D495D" w:rsidRPr="003D495D" w:rsidTr="009D346D">
        <w:trPr>
          <w:trHeight w:val="363"/>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tabs>
                <w:tab w:val="left" w:pos="2185"/>
              </w:tabs>
              <w:spacing w:after="0" w:line="240" w:lineRule="auto"/>
              <w:jc w:val="center"/>
              <w:rPr>
                <w:rFonts w:ascii="Times New Roman" w:eastAsia="Calibri" w:hAnsi="Times New Roman" w:cs="Times New Roman"/>
                <w:szCs w:val="20"/>
                <w:lang w:eastAsia="ru-RU"/>
              </w:rPr>
            </w:pPr>
            <w:r w:rsidRPr="003D495D">
              <w:rPr>
                <w:rFonts w:ascii="Times New Roman" w:eastAsia="Calibri" w:hAnsi="Times New Roman" w:cs="Times New Roman"/>
                <w:b/>
                <w:bCs/>
                <w:szCs w:val="20"/>
                <w:u w:val="single"/>
              </w:rPr>
              <w:t>C. Acţiuni noi identificate pentru anii 2016-2018</w:t>
            </w:r>
          </w:p>
        </w:tc>
      </w:tr>
      <w:tr w:rsidR="003D495D" w:rsidRPr="003D495D" w:rsidTr="009D346D">
        <w:trPr>
          <w:trHeight w:val="836"/>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xml:space="preserve">Elaborarea şi implementarea programelor de educaţie generală şi </w:t>
            </w: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vocaţională pentru copiii în detenţie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tabs>
                <w:tab w:val="left" w:pos="2185"/>
              </w:tabs>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lang w:eastAsia="ru-RU"/>
              </w:rPr>
              <w:t xml:space="preserve">- </w:t>
            </w:r>
            <w:r w:rsidRPr="003D495D">
              <w:rPr>
                <w:rFonts w:ascii="Times New Roman" w:eastAsia="Calibri" w:hAnsi="Times New Roman" w:cs="Times New Roman"/>
                <w:szCs w:val="20"/>
              </w:rPr>
              <w:t>80 la sută de programe elaborate şi implementate</w:t>
            </w:r>
          </w:p>
        </w:tc>
      </w:tr>
      <w:tr w:rsidR="003D495D" w:rsidRPr="003D495D" w:rsidTr="009D346D">
        <w:trPr>
          <w:trHeight w:val="991"/>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bCs/>
                <w:szCs w:val="20"/>
              </w:rPr>
              <w:t xml:space="preserve">Indexarea burselor elevilor din instituţiile de învăţămînt </w:t>
            </w:r>
            <w:r w:rsidRPr="003D495D">
              <w:rPr>
                <w:rFonts w:ascii="Times New Roman" w:eastAsia="Calibri" w:hAnsi="Times New Roman" w:cs="Times New Roman"/>
                <w:szCs w:val="20"/>
                <w:lang w:eastAsia="ru-RU"/>
              </w:rPr>
              <w:t>profesional tehnic secundar</w:t>
            </w: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szCs w:val="20"/>
              </w:rPr>
              <w:t>Majorarea cheltuielilor de personal, conform politicii salariale</w:t>
            </w:r>
          </w:p>
        </w:tc>
        <w:tc>
          <w:tcPr>
            <w:tcW w:w="1789"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right w:val="single" w:sz="4" w:space="0" w:color="auto"/>
            </w:tcBorders>
          </w:tcPr>
          <w:p w:rsidR="003D495D" w:rsidRPr="003D495D" w:rsidRDefault="003D495D" w:rsidP="003D495D">
            <w:pPr>
              <w:tabs>
                <w:tab w:val="left" w:pos="2185"/>
              </w:tabs>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rPr>
              <w:t xml:space="preserve">- burse majorate în anii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-2018</w:t>
            </w:r>
          </w:p>
        </w:tc>
      </w:tr>
      <w:tr w:rsidR="003D495D" w:rsidRPr="003D495D" w:rsidTr="009D346D">
        <w:trPr>
          <w:trHeight w:val="240"/>
        </w:trPr>
        <w:tc>
          <w:tcPr>
            <w:tcW w:w="3372" w:type="dxa"/>
            <w:tcBorders>
              <w:top w:val="single" w:sz="4" w:space="0" w:color="auto"/>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rPr>
                <w:rFonts w:ascii="Times New Roman" w:eastAsia="Calibri" w:hAnsi="Times New Roman" w:cs="Times New Roman"/>
                <w:b/>
                <w:bCs/>
                <w:i/>
                <w:iCs/>
                <w:szCs w:val="20"/>
              </w:rPr>
            </w:pPr>
            <w:r w:rsidRPr="003D495D">
              <w:rPr>
                <w:rFonts w:ascii="Times New Roman" w:eastAsia="Calibri" w:hAnsi="Times New Roman" w:cs="Times New Roman"/>
                <w:b/>
                <w:bCs/>
                <w:i/>
                <w:iCs/>
                <w:szCs w:val="20"/>
              </w:rPr>
              <w:t>Costul subprogramului</w:t>
            </w:r>
          </w:p>
        </w:tc>
        <w:tc>
          <w:tcPr>
            <w:tcW w:w="3601" w:type="dxa"/>
            <w:gridSpan w:val="2"/>
            <w:tcBorders>
              <w:top w:val="single" w:sz="4" w:space="0" w:color="auto"/>
              <w:left w:val="nil"/>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789" w:type="dxa"/>
            <w:tcBorders>
              <w:top w:val="single" w:sz="4" w:space="0" w:color="auto"/>
              <w:left w:val="nil"/>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2889" w:type="dxa"/>
            <w:tcBorders>
              <w:top w:val="single" w:sz="4" w:space="0" w:color="auto"/>
              <w:left w:val="nil"/>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szCs w:val="20"/>
              </w:rPr>
            </w:pPr>
          </w:p>
        </w:tc>
      </w:tr>
      <w:tr w:rsidR="003D495D" w:rsidRPr="003D495D" w:rsidTr="009D346D">
        <w:trPr>
          <w:trHeight w:val="750"/>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Subprogramul 09 „Învăţămînt profesional tehnic postsecundar” </w:t>
            </w:r>
            <w:r w:rsidRPr="003D495D">
              <w:rPr>
                <w:rFonts w:ascii="Times New Roman" w:eastAsia="Calibri" w:hAnsi="Times New Roman" w:cs="Times New Roman"/>
                <w:szCs w:val="20"/>
              </w:rPr>
              <w:t xml:space="preserve">include colegiile, care asigură pregătirea tehnicienilor, tehnologilor, personalului medical şi farmaceutic, altor specialişti în diverse domenii, în conformitate cu nivelul IV al Clasificatorului Standard Internaţional al Învăţămîntului. Realizarea acestui subprogram se efectuează de către reţeaua de colegii din Republica Moldova, care se află în subordinea mai multor ministere (Ministerul Educaţiei, Ministerul Agriculturii şi Industriei Alimentare, Ministerul Sănătăţii şi Ministerul Culturii).       </w:t>
            </w:r>
          </w:p>
        </w:tc>
      </w:tr>
      <w:tr w:rsidR="003D495D" w:rsidRPr="003D495D" w:rsidTr="009D346D">
        <w:trPr>
          <w:trHeight w:val="525"/>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Scopul subprogramului: </w:t>
            </w:r>
            <w:r w:rsidRPr="003D495D">
              <w:rPr>
                <w:rFonts w:ascii="Times New Roman" w:eastAsia="Calibri" w:hAnsi="Times New Roman" w:cs="Times New Roman"/>
                <w:szCs w:val="20"/>
              </w:rPr>
              <w:t>Pregătirea cadrelor de specialitate cu caracter aplicativ (tehnicieni, tehnicieni-tehnologi, contabili, economişti, lucrători medicali, specialişti în domeniul artelor etc.) pentru economia naţională şi sfera socială.</w:t>
            </w:r>
          </w:p>
        </w:tc>
      </w:tr>
      <w:tr w:rsidR="003D495D" w:rsidRPr="003D495D" w:rsidTr="009D346D">
        <w:trPr>
          <w:trHeight w:val="285"/>
        </w:trPr>
        <w:tc>
          <w:tcPr>
            <w:tcW w:w="3372" w:type="dxa"/>
            <w:tcBorders>
              <w:top w:val="nil"/>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Probleme cheie</w:t>
            </w:r>
          </w:p>
        </w:tc>
        <w:tc>
          <w:tcPr>
            <w:tcW w:w="11039" w:type="dxa"/>
            <w:gridSpan w:val="6"/>
            <w:tcBorders>
              <w:top w:val="nil"/>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A. Acţiuni curente</w:t>
            </w:r>
          </w:p>
        </w:tc>
      </w:tr>
      <w:tr w:rsidR="003D495D" w:rsidRPr="003D495D" w:rsidTr="009D346D">
        <w:trPr>
          <w:trHeight w:val="285"/>
        </w:trPr>
        <w:tc>
          <w:tcPr>
            <w:tcW w:w="3372" w:type="dxa"/>
            <w:vMerge w:val="restart"/>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Starea deplorabilă a căminelor</w:t>
            </w:r>
          </w:p>
          <w:p w:rsidR="003D495D" w:rsidRPr="003D495D" w:rsidRDefault="003D495D" w:rsidP="003D495D">
            <w:pPr>
              <w:spacing w:after="0" w:line="240" w:lineRule="auto"/>
              <w:rPr>
                <w:rFonts w:ascii="Times New Roman" w:eastAsia="Calibri" w:hAnsi="Times New Roman" w:cs="Times New Roman"/>
                <w:b/>
                <w:bCs/>
                <w:szCs w:val="20"/>
                <w:u w:val="single"/>
              </w:rPr>
            </w:pP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lastRenderedPageBreak/>
              <w:t>- Necorespunderea bazei tehnico-materiale şi didactice necesităţilor de pregătire a specialistului pentru noile condiţii de activitate (intelectuală şi de producere)</w:t>
            </w: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Necesitatea dotărilor cu echipament TIC, necesităţilor de pregătire a specialistului pentru noile condiţii de activitate</w:t>
            </w: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Necesitatea de reactualizare a Nomenclatorului specialităţilor pentru pregătirea cadrelor adecvat politicilor naţionale şi internaţionale de pregătire a specialiştilor în colegii</w:t>
            </w: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Necesitatea dezvoltării Cadrului Naţional al Calificărilor şi a descrierii calificărilor pentru elaborarea Cadrului Naţional al Calificărilor</w:t>
            </w: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b/>
                <w:bCs/>
                <w:szCs w:val="20"/>
                <w:u w:val="single"/>
                <w:lang w:eastAsia="ru-RU"/>
              </w:rPr>
            </w:pPr>
            <w:r w:rsidRPr="003D495D">
              <w:rPr>
                <w:rFonts w:ascii="Times New Roman" w:eastAsia="Calibri" w:hAnsi="Times New Roman" w:cs="Times New Roman"/>
                <w:b/>
                <w:bCs/>
                <w:szCs w:val="20"/>
                <w:u w:val="single"/>
                <w:lang w:eastAsia="ru-RU"/>
              </w:rPr>
              <w:t>B. Obiective de politici pe termen mediu:</w:t>
            </w:r>
          </w:p>
          <w:p w:rsidR="003D495D" w:rsidRPr="003D495D" w:rsidRDefault="003D495D" w:rsidP="003D495D">
            <w:pPr>
              <w:spacing w:after="0" w:line="240" w:lineRule="auto"/>
              <w:rPr>
                <w:rFonts w:ascii="Times New Roman" w:eastAsia="Calibri" w:hAnsi="Times New Roman" w:cs="Times New Roman"/>
                <w:b/>
                <w:bCs/>
                <w:szCs w:val="20"/>
                <w:u w:val="single"/>
                <w:lang w:eastAsia="ru-RU"/>
              </w:rPr>
            </w:pP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xml:space="preserve">- Reconceptualizarea sistemului de învăţămînt profesional tehnic </w:t>
            </w:r>
            <w:r w:rsidRPr="003D495D">
              <w:rPr>
                <w:rFonts w:ascii="Times New Roman" w:eastAsia="Calibri" w:hAnsi="Times New Roman" w:cs="Times New Roman"/>
                <w:szCs w:val="20"/>
              </w:rPr>
              <w:t>postsecundar</w:t>
            </w: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xml:space="preserve"> </w:t>
            </w: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lastRenderedPageBreak/>
              <w:t xml:space="preserve">- Dezvoltarea bazei tehnico-materiale şi didactice a instituţiilor de învăţământ profesional tehnic postsecundar în </w:t>
            </w:r>
            <w:r w:rsidRPr="003D495D">
              <w:rPr>
                <w:rFonts w:ascii="Times New Roman" w:eastAsia="Calibri" w:hAnsi="Times New Roman" w:cs="Times New Roman"/>
                <w:color w:val="FF0000"/>
                <w:szCs w:val="20"/>
                <w:lang w:eastAsia="ru-RU"/>
              </w:rPr>
              <w:t>2016</w:t>
            </w:r>
            <w:r w:rsidRPr="003D495D">
              <w:rPr>
                <w:rFonts w:ascii="Times New Roman" w:eastAsia="Calibri" w:hAnsi="Times New Roman" w:cs="Times New Roman"/>
                <w:szCs w:val="20"/>
                <w:lang w:eastAsia="ru-RU"/>
              </w:rPr>
              <w:t>-2018</w:t>
            </w:r>
          </w:p>
          <w:p w:rsidR="003D495D" w:rsidRPr="003D495D" w:rsidRDefault="003D495D" w:rsidP="003D495D">
            <w:pPr>
              <w:spacing w:after="0" w:line="240" w:lineRule="auto"/>
              <w:rPr>
                <w:rFonts w:ascii="Times New Roman" w:eastAsia="Calibri" w:hAnsi="Times New Roman" w:cs="Times New Roman"/>
                <w:szCs w:val="20"/>
                <w:lang w:eastAsia="ru-RU"/>
              </w:rPr>
            </w:pP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szCs w:val="20"/>
                <w:lang w:eastAsia="ru-RU"/>
              </w:rPr>
              <w:t xml:space="preserve">- Dotarea cu echipament TIC şi implementarea materialelor digitale educaţionale la 4 discipline de învăţămînt general în </w:t>
            </w:r>
            <w:r w:rsidRPr="003D495D">
              <w:rPr>
                <w:rFonts w:ascii="Times New Roman" w:eastAsia="Calibri" w:hAnsi="Times New Roman" w:cs="Times New Roman"/>
                <w:color w:val="FF0000"/>
                <w:szCs w:val="20"/>
                <w:lang w:eastAsia="ru-RU"/>
              </w:rPr>
              <w:t>2015-</w:t>
            </w:r>
            <w:r w:rsidRPr="003D495D">
              <w:rPr>
                <w:rFonts w:ascii="Times New Roman" w:eastAsia="Calibri" w:hAnsi="Times New Roman" w:cs="Times New Roman"/>
                <w:szCs w:val="20"/>
                <w:lang w:eastAsia="ru-RU"/>
              </w:rPr>
              <w:t>2017</w:t>
            </w: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bCs/>
                <w:szCs w:val="20"/>
                <w:lang w:eastAsia="ru-RU"/>
              </w:rPr>
              <w:lastRenderedPageBreak/>
              <w:t xml:space="preserve">Susținerea activității instituțiilor de învățămînt </w:t>
            </w:r>
            <w:r w:rsidRPr="003D495D">
              <w:rPr>
                <w:rFonts w:ascii="Times New Roman" w:eastAsia="Calibri" w:hAnsi="Times New Roman" w:cs="Times New Roman"/>
                <w:szCs w:val="20"/>
                <w:lang w:eastAsia="ru-RU"/>
              </w:rPr>
              <w:t xml:space="preserve">profesional tehnic </w:t>
            </w:r>
            <w:r w:rsidRPr="003D495D">
              <w:rPr>
                <w:rFonts w:ascii="Times New Roman" w:eastAsia="Calibri" w:hAnsi="Times New Roman" w:cs="Times New Roman"/>
                <w:szCs w:val="20"/>
              </w:rPr>
              <w:t>postsecundar</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- 8,0 mii de elevi înmatriculaţi anual în colegii</w:t>
            </w:r>
          </w:p>
        </w:tc>
      </w:tr>
      <w:tr w:rsidR="003D495D" w:rsidRPr="003D495D" w:rsidTr="009D346D">
        <w:trPr>
          <w:trHeight w:val="28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ind w:left="131"/>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renovarea bazei tehnico-materiale a căminelor</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- 5 la sută de cămine renovate anual</w:t>
            </w:r>
          </w:p>
        </w:tc>
      </w:tr>
      <w:tr w:rsidR="003D495D" w:rsidRPr="003D495D" w:rsidTr="009D346D">
        <w:trPr>
          <w:trHeight w:val="28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ind w:left="131"/>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dotarea şi reparaţia laboratoarelor de specialitate cu profil agricol (8 colegii)</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- 5 laboratoare model, dotate şi reparate anual</w:t>
            </w:r>
          </w:p>
        </w:tc>
      </w:tr>
      <w:tr w:rsidR="003D495D" w:rsidRPr="003D495D" w:rsidTr="009D346D">
        <w:trPr>
          <w:trHeight w:val="56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Gazificarea unui cămin (Colegiul tehnic agricol din Soroca)</w:t>
            </w:r>
          </w:p>
        </w:tc>
        <w:tc>
          <w:tcPr>
            <w:tcW w:w="1789" w:type="dxa"/>
            <w:tcBorders>
              <w:top w:val="single" w:sz="4" w:space="0" w:color="auto"/>
              <w:left w:val="nil"/>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nil"/>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1380" w:type="dxa"/>
            <w:tcBorders>
              <w:top w:val="single" w:sz="4" w:space="0" w:color="auto"/>
              <w:left w:val="nil"/>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bCs/>
                <w:szCs w:val="20"/>
              </w:rPr>
            </w:pPr>
          </w:p>
        </w:tc>
        <w:tc>
          <w:tcPr>
            <w:tcW w:w="2889" w:type="dxa"/>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Un cămin gazificat  </w:t>
            </w:r>
          </w:p>
        </w:tc>
      </w:tr>
      <w:tr w:rsidR="003D495D" w:rsidRPr="003D495D" w:rsidTr="009D346D">
        <w:trPr>
          <w:trHeight w:val="28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Procurarea de echipament IT, conectarea în reţea a bibliotecilor şi instruirea cadrelor didactice în aplicarea TIC în procesul de predarea-învăţare-evaluare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Echipament IT procurat în anii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 xml:space="preserve"> 2017, 2018, 2019</w:t>
            </w:r>
          </w:p>
        </w:tc>
      </w:tr>
      <w:tr w:rsidR="003D495D" w:rsidRPr="003D495D" w:rsidTr="009D346D">
        <w:trPr>
          <w:trHeight w:val="329"/>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rPr>
              <w:t xml:space="preserve">B. </w:t>
            </w:r>
            <w:r w:rsidRPr="003D495D">
              <w:rPr>
                <w:rFonts w:ascii="Times New Roman" w:eastAsia="Calibri" w:hAnsi="Times New Roman" w:cs="Times New Roman"/>
                <w:b/>
                <w:bCs/>
                <w:szCs w:val="20"/>
                <w:u w:val="single"/>
              </w:rPr>
              <w:t>Acţiuni ce duc la o utilizare mai eficace şi eficientă a resurselor</w:t>
            </w:r>
          </w:p>
        </w:tc>
      </w:tr>
      <w:tr w:rsidR="003D495D" w:rsidRPr="003D495D" w:rsidTr="009D346D">
        <w:trPr>
          <w:trHeight w:val="120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Elaborarea, editarea şi procurarea literaturii de specialitate, inclusiv pentru instituţiile cu profil medical, agrar şi artistic, din contul mijloacelor obţinute din prestarea serviciilor contra plată</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- 60 la sută din instituţii care beneficiază de dotarea bibliotecilor cu literatură de specialitate, până în anul 2017</w:t>
            </w:r>
          </w:p>
        </w:tc>
      </w:tr>
      <w:tr w:rsidR="003D495D" w:rsidRPr="003D495D" w:rsidTr="009D346D">
        <w:trPr>
          <w:trHeight w:val="120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Consolidarea bazei didactico-materiale, inclusiv TIC şi materiale digitale educaţionale, prin crearea parteneriatelor cu agenţii economici de ramură şi participarea în proiecte investiţionale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- 4 discipline care utilizează materiale digitale educaţionale în colegii către anul 2017</w:t>
            </w:r>
          </w:p>
        </w:tc>
      </w:tr>
      <w:tr w:rsidR="003D495D" w:rsidRPr="003D495D" w:rsidTr="009D346D">
        <w:trPr>
          <w:trHeight w:val="120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xml:space="preserve">Modernizarea infrastructurii blocurilor de studii şi a căminelor din contul mijloacelor obţinute din prestarea serviciilor contra plată </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Cel puţin 50 la sută din instituţii de învăţămînt profesional tehnic postsecundar beneficiari de reparaţie şi dotări moderne, pînă în anul 2017</w:t>
            </w:r>
          </w:p>
        </w:tc>
      </w:tr>
      <w:tr w:rsidR="003D495D" w:rsidRPr="003D495D" w:rsidTr="009D346D">
        <w:trPr>
          <w:trHeight w:val="312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xml:space="preserve">Implementarea Nomenclatorului domeniilor de formare profesională, al specialităţilor şi calificărilor pentru pregătirea cadrelor în instituţiile de învăţămînt profesional tehnic </w:t>
            </w:r>
            <w:r w:rsidRPr="003D495D">
              <w:rPr>
                <w:rFonts w:ascii="Times New Roman" w:eastAsia="Calibri" w:hAnsi="Times New Roman" w:cs="Times New Roman"/>
                <w:szCs w:val="20"/>
              </w:rPr>
              <w:t>postsecundar</w:t>
            </w:r>
            <w:r w:rsidRPr="003D495D">
              <w:rPr>
                <w:rFonts w:ascii="Times New Roman" w:eastAsia="Calibri" w:hAnsi="Times New Roman" w:cs="Times New Roman"/>
                <w:szCs w:val="20"/>
                <w:lang w:eastAsia="ru-RU"/>
              </w:rPr>
              <w:t>, Cadrului Naţional al Calificărilor şi curricula la disciplinele de specialitate</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szCs w:val="20"/>
              </w:rPr>
              <w:t> </w:t>
            </w: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color w:val="FF0000"/>
                <w:szCs w:val="20"/>
                <w:lang w:eastAsia="ru-RU"/>
              </w:rPr>
            </w:pPr>
            <w:r w:rsidRPr="003D495D">
              <w:rPr>
                <w:rFonts w:ascii="Times New Roman" w:eastAsia="Calibri" w:hAnsi="Times New Roman" w:cs="Times New Roman"/>
                <w:szCs w:val="20"/>
                <w:lang w:eastAsia="ru-RU"/>
              </w:rPr>
              <w:t xml:space="preserve">- Nomenclatorului domeniilor de formare profesională, al specialităţilor şi calificărilor pentru pregătirea cadrelor în instituţiile de învăţămînt profesional tehnic </w:t>
            </w:r>
            <w:r w:rsidRPr="003D495D">
              <w:rPr>
                <w:rFonts w:ascii="Times New Roman" w:eastAsia="Calibri" w:hAnsi="Times New Roman" w:cs="Times New Roman"/>
                <w:szCs w:val="20"/>
              </w:rPr>
              <w:t xml:space="preserve">postsecundar </w:t>
            </w:r>
            <w:r w:rsidRPr="003D495D">
              <w:rPr>
                <w:rFonts w:ascii="Times New Roman" w:eastAsia="Calibri" w:hAnsi="Times New Roman" w:cs="Times New Roman"/>
                <w:szCs w:val="20"/>
                <w:lang w:eastAsia="ru-RU"/>
              </w:rPr>
              <w:t xml:space="preserve">implementat în anul </w:t>
            </w:r>
            <w:r w:rsidRPr="003D495D">
              <w:rPr>
                <w:rFonts w:ascii="Times New Roman" w:eastAsia="Calibri" w:hAnsi="Times New Roman" w:cs="Times New Roman"/>
                <w:color w:val="FF0000"/>
                <w:szCs w:val="20"/>
                <w:lang w:eastAsia="ru-RU"/>
              </w:rPr>
              <w:t>2016</w:t>
            </w: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- 45 curricula elaborată către anul 2017</w:t>
            </w:r>
          </w:p>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- 60 calificări elaborate şi aprobate pînă în anul 2017</w:t>
            </w:r>
          </w:p>
        </w:tc>
      </w:tr>
      <w:tr w:rsidR="003D495D" w:rsidRPr="003D495D" w:rsidTr="009D346D">
        <w:trPr>
          <w:trHeight w:val="1053"/>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u w:val="single"/>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Renovarea căminelor existente și identificarea perspectivelor de funcționare a acestora în dependență de situația demografică (PPP)</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szCs w:val="20"/>
              </w:rPr>
              <w:t> </w:t>
            </w: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szCs w:val="20"/>
              </w:rPr>
              <w:t> </w:t>
            </w: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- 5 la sută din căminele existente renovate către anul 2017</w:t>
            </w:r>
          </w:p>
        </w:tc>
      </w:tr>
      <w:tr w:rsidR="003D495D" w:rsidRPr="003D495D" w:rsidTr="009D346D">
        <w:trPr>
          <w:trHeight w:val="13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Implementarea în instituţiile de învăţămînt profesional tehnic postsecundar a cursurilor de antreprenoriat, tehnologia informaţiei, limbile străine</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szCs w:val="20"/>
              </w:rPr>
              <w:t> </w:t>
            </w: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szCs w:val="20"/>
              </w:rPr>
              <w:t> </w:t>
            </w: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r w:rsidRPr="003D495D">
              <w:rPr>
                <w:rFonts w:ascii="Times New Roman" w:eastAsia="Calibri" w:hAnsi="Times New Roman" w:cs="Times New Roman"/>
                <w:szCs w:val="20"/>
                <w:lang w:eastAsia="ru-RU"/>
              </w:rPr>
              <w:t xml:space="preserve">- 80 la sută din instituţii oferă cursuri de antreprenoriat, cursuri de limbi străine pînă în </w:t>
            </w:r>
            <w:r w:rsidRPr="003D495D">
              <w:rPr>
                <w:rFonts w:ascii="Times New Roman" w:eastAsia="Calibri" w:hAnsi="Times New Roman" w:cs="Times New Roman"/>
                <w:color w:val="FF0000"/>
                <w:szCs w:val="20"/>
                <w:lang w:eastAsia="ru-RU"/>
              </w:rPr>
              <w:t>anul 2016</w:t>
            </w:r>
          </w:p>
        </w:tc>
      </w:tr>
      <w:tr w:rsidR="003D495D" w:rsidRPr="003D495D" w:rsidTr="009D346D">
        <w:trPr>
          <w:trHeight w:val="140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Elaborarea Cadrului Naţional al Calificărilor (CNC) pentru învăţămîntul </w:t>
            </w:r>
            <w:r w:rsidRPr="003D495D">
              <w:rPr>
                <w:rFonts w:ascii="Times New Roman" w:eastAsia="Calibri" w:hAnsi="Times New Roman" w:cs="Times New Roman"/>
                <w:szCs w:val="20"/>
                <w:lang w:eastAsia="ru-RU"/>
              </w:rPr>
              <w:t>profesional tehnic postsecundar</w:t>
            </w:r>
            <w:r w:rsidRPr="003D495D">
              <w:rPr>
                <w:rFonts w:ascii="Times New Roman" w:eastAsia="Calibri" w:hAnsi="Times New Roman" w:cs="Times New Roman"/>
                <w:szCs w:val="20"/>
              </w:rPr>
              <w:t xml:space="preserve"> (cîte 35 mii MDL per calificare)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- 16 calificări elaborate şi aprobate în anul </w:t>
            </w:r>
            <w:r w:rsidRPr="003D495D">
              <w:rPr>
                <w:rFonts w:ascii="Times New Roman" w:eastAsia="Calibri" w:hAnsi="Times New Roman" w:cs="Times New Roman"/>
                <w:color w:val="FF0000"/>
                <w:szCs w:val="20"/>
              </w:rPr>
              <w:t>2016</w:t>
            </w:r>
          </w:p>
        </w:tc>
      </w:tr>
      <w:tr w:rsidR="003D495D" w:rsidRPr="003D495D" w:rsidTr="009D346D">
        <w:trPr>
          <w:trHeight w:val="97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Elaborarea curricula pentru sistemul de învăţămînt</w:t>
            </w:r>
            <w:r w:rsidRPr="003D495D">
              <w:rPr>
                <w:rFonts w:ascii="Times New Roman" w:eastAsia="Calibri" w:hAnsi="Times New Roman" w:cs="Times New Roman"/>
                <w:szCs w:val="20"/>
                <w:lang w:eastAsia="ru-RU"/>
              </w:rPr>
              <w:t xml:space="preserve"> profesional tehnic postsecundar</w:t>
            </w:r>
            <w:r w:rsidRPr="003D495D">
              <w:rPr>
                <w:rFonts w:ascii="Times New Roman" w:eastAsia="Calibri" w:hAnsi="Times New Roman" w:cs="Times New Roman"/>
                <w:szCs w:val="20"/>
              </w:rPr>
              <w:t xml:space="preserve"> (cîte 100 mii MDL per curriculum)</w:t>
            </w:r>
          </w:p>
        </w:tc>
        <w:tc>
          <w:tcPr>
            <w:tcW w:w="1789" w:type="dxa"/>
            <w:tcBorders>
              <w:top w:val="single" w:sz="4" w:space="0" w:color="auto"/>
              <w:left w:val="nil"/>
              <w:bottom w:val="single" w:sz="4" w:space="0" w:color="auto"/>
              <w:right w:val="single" w:sz="4" w:space="0" w:color="auto"/>
            </w:tcBorders>
            <w:shd w:val="clear" w:color="auto" w:fill="FFFFFF" w:themeFill="background1"/>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GB"/>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color w:val="FF0000"/>
                <w:szCs w:val="20"/>
              </w:rPr>
            </w:pPr>
            <w:r w:rsidRPr="003D495D">
              <w:rPr>
                <w:rFonts w:ascii="Times New Roman" w:eastAsia="Calibri" w:hAnsi="Times New Roman" w:cs="Times New Roman"/>
                <w:szCs w:val="20"/>
              </w:rPr>
              <w:t xml:space="preserve">- 16 curricula elaborate şi aprobate  pînă în anul </w:t>
            </w:r>
            <w:r w:rsidRPr="003D495D">
              <w:rPr>
                <w:rFonts w:ascii="Times New Roman" w:eastAsia="Calibri" w:hAnsi="Times New Roman" w:cs="Times New Roman"/>
                <w:color w:val="FF0000"/>
                <w:szCs w:val="20"/>
              </w:rPr>
              <w:t>2016</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- 16 curricula elaborate şi aprobate pînă în anul 2017</w:t>
            </w:r>
          </w:p>
        </w:tc>
      </w:tr>
      <w:tr w:rsidR="003D495D" w:rsidRPr="003D495D" w:rsidTr="009D346D">
        <w:trPr>
          <w:trHeight w:val="397"/>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C. Acţiuni noi identificate pentru anii 2016-2018</w:t>
            </w:r>
          </w:p>
        </w:tc>
      </w:tr>
      <w:tr w:rsidR="003D495D" w:rsidRPr="003D495D" w:rsidTr="009D346D">
        <w:trPr>
          <w:trHeight w:val="885"/>
        </w:trPr>
        <w:tc>
          <w:tcPr>
            <w:tcW w:w="3372" w:type="dxa"/>
            <w:vMerge/>
            <w:tcBorders>
              <w:left w:val="single" w:sz="4" w:space="0" w:color="auto"/>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lang w:eastAsia="ru-RU"/>
              </w:rPr>
            </w:pPr>
          </w:p>
        </w:tc>
        <w:tc>
          <w:tcPr>
            <w:tcW w:w="3601" w:type="dxa"/>
            <w:gridSpan w:val="2"/>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xml:space="preserve">Indexarea burselor elevilor din instituţiile de învăţămîntul </w:t>
            </w:r>
            <w:r w:rsidRPr="003D495D">
              <w:rPr>
                <w:rFonts w:ascii="Times New Roman" w:eastAsia="Calibri" w:hAnsi="Times New Roman" w:cs="Times New Roman"/>
                <w:szCs w:val="20"/>
                <w:lang w:eastAsia="ru-RU"/>
              </w:rPr>
              <w:t>profesional tehnic postsecundar</w:t>
            </w:r>
            <w:r w:rsidRPr="003D495D">
              <w:rPr>
                <w:rFonts w:ascii="Times New Roman" w:eastAsia="Calibri" w:hAnsi="Times New Roman" w:cs="Times New Roman"/>
                <w:bCs/>
                <w:szCs w:val="20"/>
              </w:rPr>
              <w:t xml:space="preserve"> </w:t>
            </w:r>
          </w:p>
          <w:p w:rsidR="003D495D" w:rsidRPr="003D495D" w:rsidRDefault="003D495D" w:rsidP="003D495D">
            <w:pPr>
              <w:spacing w:after="0" w:line="240" w:lineRule="auto"/>
              <w:rPr>
                <w:rFonts w:ascii="Times New Roman" w:eastAsia="Calibri" w:hAnsi="Times New Roman" w:cs="Times New Roman"/>
                <w:bCs/>
                <w:szCs w:val="20"/>
              </w:rPr>
            </w:pP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Cs/>
                <w:szCs w:val="20"/>
              </w:rPr>
              <w:t>M</w:t>
            </w:r>
            <w:r w:rsidRPr="003D495D">
              <w:rPr>
                <w:rFonts w:ascii="Times New Roman" w:eastAsia="Calibri" w:hAnsi="Times New Roman" w:cs="Times New Roman"/>
                <w:szCs w:val="20"/>
              </w:rPr>
              <w:t>ajorarea cheltuielilor de personal, conform politicii salariale</w:t>
            </w:r>
          </w:p>
        </w:tc>
        <w:tc>
          <w:tcPr>
            <w:tcW w:w="1789" w:type="dxa"/>
            <w:tcBorders>
              <w:top w:val="single" w:sz="4" w:space="0" w:color="auto"/>
              <w:left w:val="nil"/>
              <w:bottom w:val="single" w:sz="4" w:space="0" w:color="auto"/>
              <w:right w:val="single" w:sz="4" w:space="0" w:color="auto"/>
            </w:tcBorders>
            <w:shd w:val="clear" w:color="auto" w:fill="FFFFFF" w:themeFill="background1"/>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p w:rsidR="003D495D" w:rsidRPr="003D495D" w:rsidRDefault="003D495D" w:rsidP="003D495D">
            <w:pPr>
              <w:spacing w:after="0" w:line="240" w:lineRule="auto"/>
              <w:jc w:val="center"/>
              <w:rPr>
                <w:rFonts w:ascii="Times New Roman" w:eastAsia="Calibri" w:hAnsi="Times New Roman" w:cs="Times New Roman"/>
                <w:szCs w:val="20"/>
              </w:rPr>
            </w:pPr>
          </w:p>
          <w:p w:rsidR="003D495D" w:rsidRPr="003D495D" w:rsidRDefault="003D495D" w:rsidP="003D495D">
            <w:pPr>
              <w:spacing w:after="0" w:line="240" w:lineRule="auto"/>
              <w:jc w:val="center"/>
              <w:rPr>
                <w:rFonts w:ascii="Times New Roman" w:eastAsia="Calibri" w:hAnsi="Times New Roman" w:cs="Times New Roman"/>
                <w:szCs w:val="20"/>
              </w:rPr>
            </w:pPr>
          </w:p>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burse majorate în anii </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-2018</w:t>
            </w:r>
          </w:p>
        </w:tc>
      </w:tr>
      <w:tr w:rsidR="003D495D" w:rsidRPr="003D495D" w:rsidTr="009D346D">
        <w:trPr>
          <w:trHeight w:val="240"/>
        </w:trPr>
        <w:tc>
          <w:tcPr>
            <w:tcW w:w="3372" w:type="dxa"/>
            <w:tcBorders>
              <w:top w:val="single" w:sz="4" w:space="0" w:color="auto"/>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i/>
                <w:iCs/>
                <w:szCs w:val="20"/>
              </w:rPr>
            </w:pPr>
            <w:r w:rsidRPr="003D495D">
              <w:rPr>
                <w:rFonts w:ascii="Times New Roman" w:eastAsia="Calibri" w:hAnsi="Times New Roman" w:cs="Times New Roman"/>
                <w:b/>
                <w:bCs/>
                <w:i/>
                <w:iCs/>
                <w:szCs w:val="20"/>
              </w:rPr>
              <w:t>Costul subprogramului</w:t>
            </w:r>
          </w:p>
        </w:tc>
        <w:tc>
          <w:tcPr>
            <w:tcW w:w="3601" w:type="dxa"/>
            <w:gridSpan w:val="2"/>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789"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2889"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r>
      <w:tr w:rsidR="003D495D" w:rsidRPr="003D495D" w:rsidTr="009D346D">
        <w:trPr>
          <w:trHeight w:val="525"/>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lastRenderedPageBreak/>
              <w:t xml:space="preserve">Subprogramul 10 „Învăţămînt superior” </w:t>
            </w:r>
            <w:r w:rsidRPr="003D495D">
              <w:rPr>
                <w:rFonts w:ascii="Times New Roman" w:eastAsia="Calibri" w:hAnsi="Times New Roman" w:cs="Times New Roman"/>
                <w:szCs w:val="20"/>
              </w:rPr>
              <w:t>include totalitatea resurselor, proceselor, structurilor şi formelor de organizare a studiilor superioare. Realizarea acestui subprogram se efectuează de către reţeaua de universităţi din Republica Moldova, care se află în subordinea mai multor ministere (Ministerul Educaţiei, Ministerul Agriculturii şi Industriei Alimentare, Ministerul Sănătăţii şi Ministerul Culturii).</w:t>
            </w:r>
          </w:p>
        </w:tc>
      </w:tr>
      <w:tr w:rsidR="003D495D" w:rsidRPr="003D495D" w:rsidTr="009D346D">
        <w:trPr>
          <w:trHeight w:val="300"/>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Scopul subprogramului: </w:t>
            </w:r>
            <w:r w:rsidRPr="003D495D">
              <w:rPr>
                <w:rFonts w:ascii="Times New Roman" w:eastAsia="Calibri" w:hAnsi="Times New Roman" w:cs="Times New Roman"/>
                <w:szCs w:val="20"/>
              </w:rPr>
              <w:t>Formarea profesională iniţială şi continuă a specialiştilor de înaltă calificare în diferite domenii ale economiei naţionale.</w:t>
            </w:r>
          </w:p>
        </w:tc>
      </w:tr>
      <w:tr w:rsidR="003D495D" w:rsidRPr="003D495D" w:rsidTr="009D346D">
        <w:trPr>
          <w:trHeight w:val="345"/>
        </w:trPr>
        <w:tc>
          <w:tcPr>
            <w:tcW w:w="3372" w:type="dxa"/>
            <w:tcBorders>
              <w:top w:val="nil"/>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Probleme cheie</w:t>
            </w:r>
          </w:p>
        </w:tc>
        <w:tc>
          <w:tcPr>
            <w:tcW w:w="11039" w:type="dxa"/>
            <w:gridSpan w:val="6"/>
            <w:tcBorders>
              <w:top w:val="nil"/>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A. Acţiuni curente</w:t>
            </w:r>
          </w:p>
        </w:tc>
      </w:tr>
      <w:tr w:rsidR="003D495D" w:rsidRPr="003D495D" w:rsidTr="009D346D">
        <w:trPr>
          <w:trHeight w:val="847"/>
        </w:trPr>
        <w:tc>
          <w:tcPr>
            <w:tcW w:w="3372" w:type="dxa"/>
            <w:vMerge w:val="restart"/>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Ritmul lent de racordare a învăţămîntului superior la standardele europene şi scăderea prestigiului învăţămîntului pedagogic</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Necesitatea dezvoltării Cadrului Naţional al Calificărilor, în corespundere cu noua structură a învăţămîntului superior şi procesul de asigurare a calităţii în contextul aderării la Procesul Bologna</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numPr>
                <w:ilvl w:val="0"/>
                <w:numId w:val="15"/>
              </w:numPr>
              <w:tabs>
                <w:tab w:val="left" w:pos="99"/>
              </w:tabs>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Implementarea unei autonomii financiare fără a avea structuri adecvate şi resurse umane în domeniu</w:t>
            </w:r>
          </w:p>
          <w:p w:rsidR="003D495D" w:rsidRPr="003D495D" w:rsidRDefault="003D495D" w:rsidP="003D495D">
            <w:pPr>
              <w:tabs>
                <w:tab w:val="left" w:pos="99"/>
              </w:tabs>
              <w:spacing w:after="0" w:line="240" w:lineRule="auto"/>
              <w:rPr>
                <w:rFonts w:ascii="Times New Roman" w:eastAsia="Calibri" w:hAnsi="Times New Roman" w:cs="Times New Roman"/>
                <w:szCs w:val="20"/>
              </w:rPr>
            </w:pPr>
          </w:p>
          <w:p w:rsidR="003D495D" w:rsidRPr="003D495D" w:rsidRDefault="003D495D" w:rsidP="003D495D">
            <w:pPr>
              <w:numPr>
                <w:ilvl w:val="0"/>
                <w:numId w:val="15"/>
              </w:numPr>
              <w:tabs>
                <w:tab w:val="left" w:pos="99"/>
              </w:tabs>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Acordarea doctoratului statutul de ciclul III, studii superioare de doctorat în învăţămîntul superior și crearea școlilor doctorale</w:t>
            </w:r>
          </w:p>
          <w:p w:rsidR="003D495D" w:rsidRPr="003D495D" w:rsidRDefault="003D495D" w:rsidP="003D495D">
            <w:pPr>
              <w:tabs>
                <w:tab w:val="left" w:pos="99"/>
              </w:tabs>
              <w:spacing w:after="0" w:line="240" w:lineRule="auto"/>
              <w:rPr>
                <w:rFonts w:ascii="Times New Roman" w:eastAsia="Calibri" w:hAnsi="Times New Roman" w:cs="Times New Roman"/>
                <w:szCs w:val="20"/>
              </w:rPr>
            </w:pPr>
          </w:p>
          <w:p w:rsidR="003D495D" w:rsidRPr="003D495D" w:rsidRDefault="003D495D" w:rsidP="003D495D">
            <w:pPr>
              <w:numPr>
                <w:ilvl w:val="0"/>
                <w:numId w:val="15"/>
              </w:numPr>
              <w:tabs>
                <w:tab w:val="left" w:pos="99"/>
              </w:tabs>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Infrastructură ineficienta sau lipsa acesteia pentru cercetarea universitară; </w:t>
            </w:r>
          </w:p>
          <w:p w:rsidR="003D495D" w:rsidRPr="003D495D" w:rsidRDefault="003D495D" w:rsidP="003D495D">
            <w:pPr>
              <w:tabs>
                <w:tab w:val="left" w:pos="99"/>
              </w:tabs>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Starea deplorabilă a căminelor; sistemelor inginereşti, inventarul şi mobilierul în cămine sînt învechite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lastRenderedPageBreak/>
              <w:t>B. Obiective de politici pe termen mediu:</w:t>
            </w:r>
          </w:p>
          <w:p w:rsidR="003D495D" w:rsidRPr="003D495D" w:rsidRDefault="003D495D" w:rsidP="003D495D">
            <w:pPr>
              <w:spacing w:after="0" w:line="240" w:lineRule="auto"/>
              <w:rPr>
                <w:rFonts w:ascii="Times New Roman" w:eastAsia="Calibri" w:hAnsi="Times New Roman" w:cs="Times New Roman"/>
                <w:b/>
                <w:bCs/>
                <w:szCs w:val="20"/>
                <w:u w:val="single"/>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Îmbunătăţirea condiţiilor de trai în 10% din cămine, în perioada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2018</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Asigurarea reformelor în învăţămîntul superior în contextul formării profesionale a cadrelor calificate pentru economia naţională </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Asigurarea accesului la învăţămîntul superior</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Crearea noii structuri a învăţămîntului superior în trei cicluri şi dezvoltarea Cadrului Naţional al Calificărilor</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Perfecţionarea şi aplicarea normativelor ce stabilesc autonomia financiară şi conformarea la acestea</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Crearea şi implementarea sistemului de evaluare şi asigurarea calităţii în învăţămîntul superior</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Dezvoltarea cercetării universitare</w:t>
            </w:r>
          </w:p>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Asigurarea reformelor în învăţămîntul superior în contextul formării profesionale a cadrelor calificate pentru economia naţională.</w:t>
            </w:r>
          </w:p>
        </w:tc>
        <w:tc>
          <w:tcPr>
            <w:tcW w:w="1789"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- 20,0 mii studenţi înmatriculaţi anual în învăţămîntul superior    </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- 16,5 mii lei cheltuieli medii pentru pregătirea unui student</w:t>
            </w:r>
          </w:p>
        </w:tc>
      </w:tr>
      <w:tr w:rsidR="003D495D" w:rsidRPr="003D495D" w:rsidTr="009D346D">
        <w:trPr>
          <w:trHeight w:val="102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Asigurarea cu burse a studenţilor ciclului I, II şi III în învăţămîntul superior, precum şi promovarea burselor de merit</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- 70 la sută de bursieri din numărul total de studenţi bugetari</w:t>
            </w:r>
          </w:p>
        </w:tc>
      </w:tr>
      <w:tr w:rsidR="003D495D" w:rsidRPr="003D495D" w:rsidTr="009D346D">
        <w:trPr>
          <w:trHeight w:val="72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Dezvoltarea Cadrului Național al Calificărilor</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Cadrul de calificări dezvoltat anual la 10 specialități</w:t>
            </w:r>
          </w:p>
        </w:tc>
      </w:tr>
      <w:tr w:rsidR="003D495D" w:rsidRPr="003D495D" w:rsidTr="009D346D">
        <w:trPr>
          <w:trHeight w:val="62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Consolidarea infrastructurii universitare pentru cercetare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Cîte 2 universități anual dotate pentru cercetare</w:t>
            </w:r>
          </w:p>
        </w:tc>
      </w:tr>
      <w:tr w:rsidR="003D495D" w:rsidRPr="003D495D" w:rsidTr="009D346D">
        <w:trPr>
          <w:trHeight w:val="72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Dezvoltarea mobilităţii academice (CEEPUS III) </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- 100 luni/burse anual </w:t>
            </w:r>
          </w:p>
        </w:tc>
      </w:tr>
      <w:tr w:rsidR="003D495D" w:rsidRPr="003D495D" w:rsidTr="009D346D">
        <w:trPr>
          <w:trHeight w:val="1122"/>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Susţinerea programelor de mobilitate academică internațională de scurtă durată (învațămînt superior ciclul I, II, III, stagii de cercetare)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- 200 luni/ burse anual</w:t>
            </w:r>
          </w:p>
        </w:tc>
      </w:tr>
      <w:tr w:rsidR="003D495D" w:rsidRPr="003D495D" w:rsidTr="009D346D">
        <w:trPr>
          <w:trHeight w:val="72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Reparaţia capitală a căminelor din instituţiile cu profil agrar (reparaţia acoperişului, fațadei, blocului sanitar, etc.)</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 la sută de cămine reparate</w:t>
            </w:r>
          </w:p>
        </w:tc>
      </w:tr>
      <w:tr w:rsidR="003D495D" w:rsidRPr="003D495D" w:rsidTr="009D346D">
        <w:trPr>
          <w:trHeight w:val="51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Finalizarea construcţiei clinicii veterinare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Clinică veterinară funcţională în anul 2017 </w:t>
            </w:r>
          </w:p>
        </w:tc>
      </w:tr>
      <w:tr w:rsidR="003D495D" w:rsidRPr="003D495D" w:rsidTr="009D346D">
        <w:trPr>
          <w:trHeight w:val="554"/>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Construcţia complexului sportiv </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Complex sportiv construit în anul </w:t>
            </w:r>
            <w:r w:rsidRPr="003D495D">
              <w:rPr>
                <w:rFonts w:ascii="Times New Roman" w:eastAsia="Calibri" w:hAnsi="Times New Roman" w:cs="Times New Roman"/>
                <w:color w:val="FF0000"/>
                <w:szCs w:val="20"/>
              </w:rPr>
              <w:t>2016</w:t>
            </w:r>
          </w:p>
        </w:tc>
      </w:tr>
      <w:tr w:rsidR="003D495D" w:rsidRPr="003D495D" w:rsidTr="009D346D">
        <w:trPr>
          <w:trHeight w:val="549"/>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Modernizarea şi reparaţia capitală a cazangeriei şi traseului termic exterior</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Cazangerie şi traseu termic dat în exploatare în anul 2017 </w:t>
            </w:r>
          </w:p>
        </w:tc>
      </w:tr>
      <w:tr w:rsidR="003D495D" w:rsidRPr="003D495D" w:rsidTr="009D346D">
        <w:trPr>
          <w:trHeight w:val="1284"/>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Renovarea blocurilor de studii şi a căminelor studenţeşti a Academiei de Muzică, Teatru şi Arte Plastice şi identificarea perspectivei de funcţionare a acestora</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-10 la sută de locuri modernizate în cămin</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Blocul central de studii al AMTAP reparat</w:t>
            </w:r>
          </w:p>
        </w:tc>
      </w:tr>
      <w:tr w:rsidR="003D495D" w:rsidRPr="003D495D" w:rsidTr="009D346D">
        <w:trPr>
          <w:trHeight w:val="73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Renovarea căminelor existente şi identificarea perspectivei de funcţionare a acestora în funcţie de situaţia demografică (PPP)</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- 10 la suta din numărul căminelor reparate către anul </w:t>
            </w:r>
            <w:r w:rsidRPr="003D495D">
              <w:rPr>
                <w:rFonts w:ascii="Times New Roman" w:eastAsia="Calibri" w:hAnsi="Times New Roman" w:cs="Times New Roman"/>
                <w:color w:val="FF0000"/>
                <w:szCs w:val="20"/>
              </w:rPr>
              <w:t>2016</w:t>
            </w:r>
          </w:p>
        </w:tc>
      </w:tr>
      <w:tr w:rsidR="003D495D" w:rsidRPr="003D495D" w:rsidTr="009D346D">
        <w:trPr>
          <w:trHeight w:val="97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Dezvoltarea parteneriatului public-privat în domeniul renovării căminelor</w:t>
            </w:r>
          </w:p>
        </w:tc>
        <w:tc>
          <w:tcPr>
            <w:tcW w:w="1789" w:type="dxa"/>
            <w:tcBorders>
              <w:top w:val="single" w:sz="4" w:space="0" w:color="auto"/>
              <w:left w:val="nil"/>
              <w:bottom w:val="nil"/>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szCs w:val="20"/>
              </w:rPr>
              <w:t> </w:t>
            </w:r>
          </w:p>
        </w:tc>
        <w:tc>
          <w:tcPr>
            <w:tcW w:w="1380" w:type="dxa"/>
            <w:tcBorders>
              <w:top w:val="single" w:sz="4" w:space="0" w:color="auto"/>
              <w:left w:val="nil"/>
              <w:bottom w:val="nil"/>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szCs w:val="20"/>
              </w:rPr>
              <w:t> </w:t>
            </w:r>
          </w:p>
        </w:tc>
        <w:tc>
          <w:tcPr>
            <w:tcW w:w="2889" w:type="dxa"/>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 la sută  din instituţii de învăţămînt superior participante  în PPP faţă de anul precedent</w:t>
            </w:r>
          </w:p>
        </w:tc>
      </w:tr>
      <w:tr w:rsidR="003D495D" w:rsidRPr="003D495D" w:rsidTr="009D346D">
        <w:trPr>
          <w:trHeight w:val="776"/>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Constituirea sistemului de învăţămînt superior în trei cicluri</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Ciclul III de studii superioare implementat în 10 universități</w:t>
            </w:r>
          </w:p>
        </w:tc>
      </w:tr>
      <w:tr w:rsidR="003D495D" w:rsidRPr="003D495D" w:rsidTr="009D346D">
        <w:trPr>
          <w:trHeight w:val="97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Evaluarea externă a învăţămîntului juridic superior (ciclul II, studii superioare de masterat)</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Evaluarea externă a cel puţin 25 programe de master în 12 instituţii care formează cadre juridice la specialitatea „Drept’’</w:t>
            </w:r>
          </w:p>
        </w:tc>
      </w:tr>
      <w:tr w:rsidR="003D495D" w:rsidRPr="003D495D" w:rsidTr="009D346D">
        <w:trPr>
          <w:trHeight w:val="85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Dezvoltarea programelor de studii în Drept , licență și master, de comun cu Ministerul Justiţiei</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color w:val="C00000"/>
                <w:szCs w:val="20"/>
              </w:rPr>
            </w:pPr>
          </w:p>
        </w:tc>
        <w:tc>
          <w:tcPr>
            <w:tcW w:w="1380"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color w:val="C00000"/>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color w:val="C00000"/>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- 50 la sută din programe revizuite anual</w:t>
            </w:r>
          </w:p>
        </w:tc>
      </w:tr>
      <w:tr w:rsidR="003D495D" w:rsidRPr="003D495D" w:rsidTr="009D346D">
        <w:trPr>
          <w:trHeight w:val="54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B. Acţiuni ce duc la o utilizare mai eficace şi eficientă a resurselor</w:t>
            </w:r>
          </w:p>
        </w:tc>
      </w:tr>
      <w:tr w:rsidR="003D495D" w:rsidRPr="003D495D" w:rsidTr="009D346D">
        <w:trPr>
          <w:trHeight w:val="121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Pregătirea pentru sistemul de sănătate a medicilor stomatologi şi farmacişti  în baza taxelor de studii</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r>
      <w:tr w:rsidR="003D495D" w:rsidRPr="003D495D" w:rsidTr="009D346D">
        <w:trPr>
          <w:trHeight w:val="121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Implementarea unei autonomii universitare reale, inclusiv, reorganizarea şi restructurarea administrativă, în scopul optimizării resurselor şi îmbunătăţirii managementului instituţional şi a calităţii serviciilor de instruire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color w:val="FF0000"/>
                <w:szCs w:val="20"/>
              </w:rPr>
            </w:pPr>
            <w:r w:rsidRPr="003D495D">
              <w:rPr>
                <w:rFonts w:ascii="Times New Roman" w:eastAsia="Calibri" w:hAnsi="Times New Roman" w:cs="Times New Roman"/>
                <w:szCs w:val="20"/>
              </w:rPr>
              <w:t>Numărul instituțiilor evaluate</w:t>
            </w:r>
          </w:p>
        </w:tc>
      </w:tr>
      <w:tr w:rsidR="003D495D" w:rsidRPr="003D495D" w:rsidTr="009D346D">
        <w:trPr>
          <w:trHeight w:val="333"/>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C. Acţiuni noi identificate pentru anii 2016-2018</w:t>
            </w:r>
          </w:p>
        </w:tc>
      </w:tr>
      <w:tr w:rsidR="003D495D" w:rsidRPr="003D495D" w:rsidTr="009D346D">
        <w:trPr>
          <w:trHeight w:val="81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Implementarea ciclului III, studii superioare de doctorat</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Sistem de învăţămînt superior în trei cicluri implementat către anul 2017</w:t>
            </w:r>
          </w:p>
        </w:tc>
      </w:tr>
      <w:tr w:rsidR="003D495D" w:rsidRPr="003D495D" w:rsidTr="009D346D">
        <w:trPr>
          <w:trHeight w:val="50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Majorarea salariilor angajaţilor conform politicii noi salariale </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r>
      <w:tr w:rsidR="003D495D" w:rsidRPr="003D495D" w:rsidTr="009D346D">
        <w:trPr>
          <w:trHeight w:val="50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Dezvoltarea cercetării universitare</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numPr>
                <w:ilvl w:val="0"/>
                <w:numId w:val="15"/>
              </w:num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Numărul de programe de doctorat autorizate provizoriu</w:t>
            </w:r>
          </w:p>
        </w:tc>
      </w:tr>
      <w:tr w:rsidR="003D495D" w:rsidRPr="003D495D" w:rsidTr="009D346D">
        <w:trPr>
          <w:trHeight w:val="75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Funcţionarea tuturor instituţiilor de învăţămînt superior de stat în condiţii de autonomie financiară</w:t>
            </w:r>
          </w:p>
        </w:tc>
        <w:tc>
          <w:tcPr>
            <w:tcW w:w="1789" w:type="dxa"/>
            <w:tcBorders>
              <w:top w:val="single" w:sz="4" w:space="0" w:color="auto"/>
              <w:left w:val="nil"/>
              <w:bottom w:val="single" w:sz="4" w:space="0" w:color="auto"/>
              <w:right w:val="single" w:sz="4" w:space="0" w:color="auto"/>
            </w:tcBorders>
            <w:shd w:val="clear" w:color="auto" w:fill="FFFFFF" w:themeFill="background1"/>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- 100 % instituţii de învăţămînt superior de stat activează în condiţii de autonomie financiară</w:t>
            </w:r>
          </w:p>
        </w:tc>
      </w:tr>
      <w:tr w:rsidR="003D495D" w:rsidRPr="003D495D" w:rsidTr="009D346D">
        <w:trPr>
          <w:trHeight w:val="627"/>
        </w:trPr>
        <w:tc>
          <w:tcPr>
            <w:tcW w:w="3372" w:type="dxa"/>
            <w:vMerge/>
            <w:tcBorders>
              <w:left w:val="single" w:sz="4" w:space="0" w:color="auto"/>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Indexarea burselor pentru ciclurile I, II şi III</w:t>
            </w:r>
          </w:p>
        </w:tc>
        <w:tc>
          <w:tcPr>
            <w:tcW w:w="1789" w:type="dxa"/>
            <w:tcBorders>
              <w:top w:val="single" w:sz="4" w:space="0" w:color="auto"/>
              <w:left w:val="nil"/>
              <w:bottom w:val="single" w:sz="4" w:space="0" w:color="auto"/>
              <w:right w:val="single" w:sz="4" w:space="0" w:color="auto"/>
            </w:tcBorders>
            <w:shd w:val="clear" w:color="auto" w:fill="FFFFFF" w:themeFill="background1"/>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nil"/>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- 6,4 % la sută burse majorate în anul </w:t>
            </w:r>
            <w:r w:rsidRPr="003D495D">
              <w:rPr>
                <w:rFonts w:ascii="Times New Roman" w:eastAsia="Calibri" w:hAnsi="Times New Roman" w:cs="Times New Roman"/>
                <w:color w:val="FF0000"/>
                <w:szCs w:val="20"/>
              </w:rPr>
              <w:t>2016</w:t>
            </w:r>
          </w:p>
        </w:tc>
      </w:tr>
      <w:tr w:rsidR="003D495D" w:rsidRPr="003D495D" w:rsidTr="009D346D">
        <w:trPr>
          <w:trHeight w:val="627"/>
        </w:trPr>
        <w:tc>
          <w:tcPr>
            <w:tcW w:w="3372" w:type="dxa"/>
            <w:vMerge/>
            <w:tcBorders>
              <w:left w:val="single" w:sz="4" w:space="0" w:color="auto"/>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Sporirea gradului de utilizare a spaţiului locativ din cămine</w:t>
            </w:r>
          </w:p>
        </w:tc>
        <w:tc>
          <w:tcPr>
            <w:tcW w:w="1789" w:type="dxa"/>
            <w:tcBorders>
              <w:top w:val="single" w:sz="4" w:space="0" w:color="auto"/>
              <w:left w:val="nil"/>
              <w:bottom w:val="single" w:sz="4" w:space="0" w:color="auto"/>
              <w:right w:val="single" w:sz="4" w:space="0" w:color="auto"/>
            </w:tcBorders>
            <w:shd w:val="clear" w:color="auto" w:fill="FFFFFF" w:themeFill="background1"/>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nil"/>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r>
      <w:tr w:rsidR="003D495D" w:rsidRPr="003D495D" w:rsidTr="009D346D">
        <w:trPr>
          <w:trHeight w:val="240"/>
        </w:trPr>
        <w:tc>
          <w:tcPr>
            <w:tcW w:w="3372" w:type="dxa"/>
            <w:tcBorders>
              <w:top w:val="single" w:sz="4" w:space="0" w:color="auto"/>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i/>
                <w:szCs w:val="20"/>
              </w:rPr>
            </w:pPr>
            <w:r w:rsidRPr="003D495D">
              <w:rPr>
                <w:rFonts w:ascii="Times New Roman" w:eastAsia="Calibri" w:hAnsi="Times New Roman" w:cs="Times New Roman"/>
                <w:b/>
                <w:bCs/>
                <w:i/>
                <w:szCs w:val="20"/>
              </w:rPr>
              <w:t>Costul subprogramului</w:t>
            </w:r>
          </w:p>
        </w:tc>
        <w:tc>
          <w:tcPr>
            <w:tcW w:w="3601" w:type="dxa"/>
            <w:gridSpan w:val="2"/>
            <w:tcBorders>
              <w:top w:val="single" w:sz="4" w:space="0" w:color="auto"/>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 </w:t>
            </w:r>
          </w:p>
        </w:tc>
        <w:tc>
          <w:tcPr>
            <w:tcW w:w="1789" w:type="dxa"/>
            <w:tcBorders>
              <w:top w:val="single" w:sz="4" w:space="0" w:color="auto"/>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2889" w:type="dxa"/>
            <w:tcBorders>
              <w:top w:val="single" w:sz="4" w:space="0" w:color="auto"/>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 </w:t>
            </w:r>
          </w:p>
        </w:tc>
      </w:tr>
      <w:tr w:rsidR="003D495D" w:rsidRPr="003D495D" w:rsidTr="009D346D">
        <w:trPr>
          <w:trHeight w:val="765"/>
        </w:trPr>
        <w:tc>
          <w:tcPr>
            <w:tcW w:w="14411" w:type="dxa"/>
            <w:gridSpan w:val="7"/>
            <w:tcBorders>
              <w:top w:val="single" w:sz="4" w:space="0" w:color="auto"/>
              <w:left w:val="single" w:sz="4" w:space="0" w:color="auto"/>
              <w:bottom w:val="single" w:sz="4" w:space="0" w:color="auto"/>
              <w:right w:val="single" w:sz="4" w:space="0" w:color="000000"/>
            </w:tcBorders>
            <w:vAlign w:val="bottom"/>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Subprogramul 11 „Învăţămînt postuniversitar”</w:t>
            </w:r>
            <w:r w:rsidRPr="003D495D">
              <w:rPr>
                <w:rFonts w:ascii="Times New Roman" w:eastAsia="Calibri" w:hAnsi="Times New Roman" w:cs="Times New Roman"/>
                <w:szCs w:val="20"/>
              </w:rPr>
              <w:t xml:space="preserve"> se realizează prin studii de rezidenţiat, secundariat clinic organizate de Ministerul Sănătății cu profil medical. Programul cuprinde activitatea IP Universităţii de Stat de Medicină şi Farmacie „Nicolae Testemiţanu”, care realizează instruirea în rezidenţiatul, secundariatul clinic al cadrelor medicale. Programul încadrează şi studiile aprofundate pentru funcţionarii publici în cadrul Academiei de Administrare Publică.</w:t>
            </w:r>
          </w:p>
        </w:tc>
      </w:tr>
      <w:tr w:rsidR="003D495D" w:rsidRPr="003D495D" w:rsidTr="009D346D">
        <w:trPr>
          <w:trHeight w:val="540"/>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Scopul subprogramului: </w:t>
            </w:r>
            <w:r w:rsidRPr="003D495D">
              <w:rPr>
                <w:rFonts w:ascii="Times New Roman" w:eastAsia="Calibri" w:hAnsi="Times New Roman" w:cs="Times New Roman"/>
                <w:szCs w:val="20"/>
              </w:rPr>
              <w:t>Îmbunătăţirea calităţii serviciilor educaţionale, în scopul pregătirii specialiştilor de performanţă. Dezvoltarea resurselor umane în sistemul administraţiei publice, întru asigurarea calităţii înalte a serviciilor publice.</w:t>
            </w:r>
          </w:p>
        </w:tc>
      </w:tr>
      <w:tr w:rsidR="003D495D" w:rsidRPr="003D495D" w:rsidTr="009D346D">
        <w:trPr>
          <w:trHeight w:val="315"/>
        </w:trPr>
        <w:tc>
          <w:tcPr>
            <w:tcW w:w="3372" w:type="dxa"/>
            <w:tcBorders>
              <w:top w:val="nil"/>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Probleme cheie.</w:t>
            </w:r>
          </w:p>
        </w:tc>
        <w:tc>
          <w:tcPr>
            <w:tcW w:w="11039" w:type="dxa"/>
            <w:gridSpan w:val="6"/>
            <w:tcBorders>
              <w:top w:val="nil"/>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Acţiuni curente</w:t>
            </w:r>
          </w:p>
        </w:tc>
      </w:tr>
      <w:tr w:rsidR="003D495D" w:rsidRPr="003D495D" w:rsidTr="009D346D">
        <w:trPr>
          <w:trHeight w:val="563"/>
        </w:trPr>
        <w:tc>
          <w:tcPr>
            <w:tcW w:w="3372" w:type="dxa"/>
            <w:vMerge w:val="restart"/>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Insuficienţa cadrelor medicale cu profil îngust şi de înaltă calificare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Supraaglomerarea bazelor clinice cu rezidenţi şi conlucrarea insuficientă cu conducătorii instituţiilor medico-sanitare, în vederea creării condiţiilor optime pentru activitatea clinică a rezidenţilor</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Lipsa sistemului de asigurare a calităţii în învăţământul postuniversitar în contextul </w:t>
            </w:r>
            <w:r w:rsidRPr="003D495D">
              <w:rPr>
                <w:rFonts w:ascii="Times New Roman" w:eastAsia="Calibri" w:hAnsi="Times New Roman" w:cs="Times New Roman"/>
                <w:szCs w:val="20"/>
              </w:rPr>
              <w:lastRenderedPageBreak/>
              <w:t>racordării la Standardelor Operaţionale Internaţionale (ISO)</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Necorespunderea cunoştinţelor profesionale cu atribuţiile de funcţie al angajaţilor din administraţia publică</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Pregătirea insuficientă a cadrelor calificate în domeniul administraţiei publice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Implementarea unei autonomii financiare fără a avea structuri adecvate şi surse umane în domeniu</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jc w:val="both"/>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B. Obiective de politici pe termen mediu</w:t>
            </w:r>
          </w:p>
          <w:p w:rsidR="003D495D" w:rsidRPr="003D495D" w:rsidRDefault="003D495D" w:rsidP="003D495D">
            <w:pPr>
              <w:spacing w:after="0" w:line="240" w:lineRule="auto"/>
              <w:jc w:val="both"/>
              <w:rPr>
                <w:rFonts w:ascii="Times New Roman" w:eastAsia="Calibri" w:hAnsi="Times New Roman" w:cs="Times New Roman"/>
                <w:b/>
                <w:bCs/>
                <w:szCs w:val="20"/>
                <w:u w:val="single"/>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Asigurarea instruirii obligatorie prin rezidenţiat. Micșorarea deficitului în cadre cu specializări înguste prin asigurarea admiterii în secundariat clinic, în funcţie de necesităţile şi circumstanţele sistemului</w:t>
            </w:r>
          </w:p>
          <w:p w:rsidR="003D495D" w:rsidRPr="003D495D" w:rsidRDefault="003D495D" w:rsidP="003D495D">
            <w:pPr>
              <w:spacing w:after="0" w:line="240" w:lineRule="auto"/>
              <w:rPr>
                <w:rFonts w:ascii="Times New Roman" w:eastAsia="Calibri" w:hAnsi="Times New Roman" w:cs="Times New Roman"/>
                <w:b/>
                <w:bCs/>
                <w:szCs w:val="20"/>
                <w:u w:val="single"/>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Sporirea calităţii instruirii postuniversitare, evaluarea procesului de învăţămînt postuniversitar, în vederea auditului intern anual şi obţinerea gradului de calitate conform Standardelor Operaţionale Internaţionale (ISO)</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Majorarea cu 10 la sută a numărului beneficiarilor din administraţia publică a cursurilor </w:t>
            </w:r>
            <w:r w:rsidRPr="003D495D">
              <w:rPr>
                <w:rFonts w:ascii="Times New Roman" w:eastAsia="Calibri" w:hAnsi="Times New Roman" w:cs="Times New Roman"/>
                <w:szCs w:val="20"/>
              </w:rPr>
              <w:lastRenderedPageBreak/>
              <w:t>de instruire, prin majorarea numărului de audienţi în grupă</w:t>
            </w: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Susţinerea învăţămîntului postuniversitar, inclusiv prin ajustarea metodelor de instruire postuniversitară a medicilor şi farmaciştilor, inclusiv prin studii de rezidenţiat şi secundariat clinic, la rigorile comunităţii europene şi conform priorităţilor stabilite în documentele de politici</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(bugetul final fără fondul de burse)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- 5 la sută anual din specialiştii în medicină şi farmacie care beneficiază de pregătire profesională</w:t>
            </w:r>
          </w:p>
        </w:tc>
      </w:tr>
      <w:tr w:rsidR="003D495D" w:rsidRPr="003D495D" w:rsidTr="009D346D">
        <w:trPr>
          <w:trHeight w:val="960"/>
        </w:trPr>
        <w:tc>
          <w:tcPr>
            <w:tcW w:w="3372" w:type="dxa"/>
            <w:vMerge/>
            <w:tcBorders>
              <w:left w:val="single" w:sz="4" w:space="0" w:color="auto"/>
              <w:right w:val="single" w:sz="4" w:space="0" w:color="auto"/>
            </w:tcBorders>
          </w:tcPr>
          <w:p w:rsidR="003D495D" w:rsidRPr="003D495D" w:rsidRDefault="003D495D" w:rsidP="003D495D">
            <w:pPr>
              <w:spacing w:after="0" w:line="240" w:lineRule="auto"/>
              <w:jc w:val="both"/>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Asigurarea cu burse a rezidenţilor şi medicilor secundari clinici din învăţămîntul postuniversitar medical şi farmaceutic</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- 100 la sută de bursieri din numărul total de rezidenţi şi medici secundari clinici</w:t>
            </w:r>
          </w:p>
        </w:tc>
      </w:tr>
      <w:tr w:rsidR="003D495D" w:rsidRPr="003D495D" w:rsidTr="009D346D">
        <w:trPr>
          <w:trHeight w:val="960"/>
        </w:trPr>
        <w:tc>
          <w:tcPr>
            <w:tcW w:w="3372" w:type="dxa"/>
            <w:vMerge/>
            <w:tcBorders>
              <w:left w:val="single" w:sz="4" w:space="0" w:color="auto"/>
              <w:right w:val="single" w:sz="4" w:space="0" w:color="auto"/>
            </w:tcBorders>
          </w:tcPr>
          <w:p w:rsidR="003D495D" w:rsidRPr="003D495D" w:rsidRDefault="003D495D" w:rsidP="003D495D">
            <w:pPr>
              <w:spacing w:after="0" w:line="240" w:lineRule="auto"/>
              <w:jc w:val="both"/>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Crearea sistemului de asigurare a calităţii în învăţămîntul postuniversitar</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Sistem de asigurare a calităţii învăţămîntului medical implementat în anii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-2017</w:t>
            </w:r>
          </w:p>
        </w:tc>
      </w:tr>
      <w:tr w:rsidR="003D495D" w:rsidRPr="003D495D" w:rsidTr="009D346D">
        <w:trPr>
          <w:trHeight w:val="720"/>
        </w:trPr>
        <w:tc>
          <w:tcPr>
            <w:tcW w:w="3372" w:type="dxa"/>
            <w:vMerge/>
            <w:tcBorders>
              <w:left w:val="single" w:sz="4" w:space="0" w:color="auto"/>
              <w:right w:val="single" w:sz="4" w:space="0" w:color="auto"/>
            </w:tcBorders>
          </w:tcPr>
          <w:p w:rsidR="003D495D" w:rsidRPr="003D495D" w:rsidRDefault="003D495D" w:rsidP="003D495D">
            <w:pPr>
              <w:spacing w:after="0" w:line="240" w:lineRule="auto"/>
              <w:jc w:val="both"/>
              <w:rPr>
                <w:rFonts w:ascii="Times New Roman" w:eastAsia="Calibri" w:hAnsi="Times New Roman" w:cs="Times New Roman"/>
                <w:szCs w:val="20"/>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B. Acţiuni ce duc la o utilizare mai eficace şi eficientă a resurselor.</w:t>
            </w:r>
          </w:p>
        </w:tc>
      </w:tr>
      <w:tr w:rsidR="003D495D" w:rsidRPr="003D495D" w:rsidTr="009D346D">
        <w:trPr>
          <w:trHeight w:val="1200"/>
        </w:trPr>
        <w:tc>
          <w:tcPr>
            <w:tcW w:w="3372" w:type="dxa"/>
            <w:vMerge/>
            <w:tcBorders>
              <w:left w:val="single" w:sz="4" w:space="0" w:color="auto"/>
              <w:right w:val="single" w:sz="4" w:space="0" w:color="auto"/>
            </w:tcBorders>
          </w:tcPr>
          <w:p w:rsidR="003D495D" w:rsidRPr="003D495D" w:rsidRDefault="003D495D" w:rsidP="003D495D">
            <w:pPr>
              <w:spacing w:after="0" w:line="240" w:lineRule="auto"/>
              <w:jc w:val="both"/>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Reorganizarea şi restructurarea administrativă şi a calităţii serviciilor de instruire postuniversitare, în scopul optimizării resurselor şi îmbunătăţirii managementului instituţional</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Reorganizare şi restructurare administrativă realizată către anul 2017</w:t>
            </w:r>
          </w:p>
        </w:tc>
      </w:tr>
      <w:tr w:rsidR="003D495D" w:rsidRPr="003D495D" w:rsidTr="009D346D">
        <w:trPr>
          <w:trHeight w:val="1200"/>
        </w:trPr>
        <w:tc>
          <w:tcPr>
            <w:tcW w:w="3372" w:type="dxa"/>
            <w:vMerge/>
            <w:tcBorders>
              <w:left w:val="single" w:sz="4" w:space="0" w:color="auto"/>
              <w:right w:val="single" w:sz="4" w:space="0" w:color="auto"/>
            </w:tcBorders>
          </w:tcPr>
          <w:p w:rsidR="003D495D" w:rsidRPr="003D495D" w:rsidRDefault="003D495D" w:rsidP="003D495D">
            <w:pPr>
              <w:spacing w:after="0" w:line="240" w:lineRule="auto"/>
              <w:jc w:val="both"/>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Pregătirea prin rezidenţiat pentru sistemul de sănătate a medicilor stomatologi şi farmacişti în baza taxelor de studii</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r>
      <w:tr w:rsidR="003D495D" w:rsidRPr="003D495D" w:rsidTr="009D346D">
        <w:trPr>
          <w:trHeight w:val="960"/>
        </w:trPr>
        <w:tc>
          <w:tcPr>
            <w:tcW w:w="3372" w:type="dxa"/>
            <w:vMerge/>
            <w:tcBorders>
              <w:left w:val="single" w:sz="4" w:space="0" w:color="auto"/>
              <w:right w:val="single" w:sz="4" w:space="0" w:color="auto"/>
            </w:tcBorders>
          </w:tcPr>
          <w:p w:rsidR="003D495D" w:rsidRPr="003D495D" w:rsidRDefault="003D495D" w:rsidP="003D495D">
            <w:pPr>
              <w:spacing w:after="0" w:line="240" w:lineRule="auto"/>
              <w:jc w:val="both"/>
              <w:rPr>
                <w:rFonts w:ascii="Times New Roman" w:eastAsia="Calibri" w:hAnsi="Times New Roman" w:cs="Times New Roman"/>
                <w:b/>
                <w:bCs/>
                <w:szCs w:val="20"/>
                <w:u w:val="single"/>
              </w:rPr>
            </w:pPr>
          </w:p>
        </w:tc>
        <w:tc>
          <w:tcPr>
            <w:tcW w:w="3601" w:type="dxa"/>
            <w:gridSpan w:val="2"/>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Realizarea în cadrul Academiei de Administrare Publică a studiilor postuniversitare pentru funcţionarii publici în domeniul Administraţiei Publice</w:t>
            </w:r>
          </w:p>
        </w:tc>
        <w:tc>
          <w:tcPr>
            <w:tcW w:w="1789"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- 5 la sută din funcţionarii publici ce au realizat anual studii postuniversitare</w:t>
            </w:r>
          </w:p>
        </w:tc>
      </w:tr>
      <w:tr w:rsidR="003D495D" w:rsidRPr="003D495D" w:rsidTr="009D346D">
        <w:trPr>
          <w:trHeight w:val="960"/>
        </w:trPr>
        <w:tc>
          <w:tcPr>
            <w:tcW w:w="3372" w:type="dxa"/>
            <w:vMerge/>
            <w:tcBorders>
              <w:left w:val="single" w:sz="4" w:space="0" w:color="auto"/>
              <w:right w:val="single" w:sz="4" w:space="0" w:color="auto"/>
            </w:tcBorders>
          </w:tcPr>
          <w:p w:rsidR="003D495D" w:rsidRPr="003D495D" w:rsidRDefault="003D495D" w:rsidP="003D495D">
            <w:pPr>
              <w:spacing w:after="0" w:line="240" w:lineRule="auto"/>
              <w:jc w:val="both"/>
              <w:rPr>
                <w:rFonts w:ascii="Times New Roman" w:eastAsia="Calibri" w:hAnsi="Times New Roman" w:cs="Times New Roman"/>
                <w:b/>
                <w:bCs/>
                <w:szCs w:val="20"/>
                <w:u w:val="single"/>
              </w:rPr>
            </w:pPr>
          </w:p>
        </w:tc>
        <w:tc>
          <w:tcPr>
            <w:tcW w:w="3601" w:type="dxa"/>
            <w:gridSpan w:val="2"/>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Sporirea gradului de utilizare a spaţiului locativ din cămine </w:t>
            </w:r>
          </w:p>
        </w:tc>
        <w:tc>
          <w:tcPr>
            <w:tcW w:w="1789"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r>
      <w:tr w:rsidR="003D495D" w:rsidRPr="003D495D" w:rsidTr="009D346D">
        <w:trPr>
          <w:trHeight w:val="960"/>
        </w:trPr>
        <w:tc>
          <w:tcPr>
            <w:tcW w:w="3372" w:type="dxa"/>
            <w:vMerge/>
            <w:tcBorders>
              <w:left w:val="single" w:sz="4" w:space="0" w:color="auto"/>
              <w:right w:val="single" w:sz="4" w:space="0" w:color="auto"/>
            </w:tcBorders>
          </w:tcPr>
          <w:p w:rsidR="003D495D" w:rsidRPr="003D495D" w:rsidRDefault="003D495D" w:rsidP="003D495D">
            <w:pPr>
              <w:spacing w:after="0" w:line="240" w:lineRule="auto"/>
              <w:jc w:val="both"/>
              <w:rPr>
                <w:rFonts w:ascii="Times New Roman" w:eastAsia="Calibri" w:hAnsi="Times New Roman" w:cs="Times New Roman"/>
                <w:b/>
                <w:bCs/>
                <w:szCs w:val="20"/>
                <w:u w:val="single"/>
              </w:rPr>
            </w:pPr>
          </w:p>
        </w:tc>
        <w:tc>
          <w:tcPr>
            <w:tcW w:w="3601" w:type="dxa"/>
            <w:gridSpan w:val="2"/>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789"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r>
      <w:tr w:rsidR="003D495D" w:rsidRPr="003D495D" w:rsidTr="009D346D">
        <w:trPr>
          <w:trHeight w:val="418"/>
        </w:trPr>
        <w:tc>
          <w:tcPr>
            <w:tcW w:w="3372" w:type="dxa"/>
            <w:vMerge/>
            <w:tcBorders>
              <w:left w:val="single" w:sz="4" w:space="0" w:color="auto"/>
              <w:right w:val="single" w:sz="4" w:space="0" w:color="auto"/>
            </w:tcBorders>
          </w:tcPr>
          <w:p w:rsidR="003D495D" w:rsidRPr="003D495D" w:rsidRDefault="003D495D" w:rsidP="003D495D">
            <w:pPr>
              <w:spacing w:after="0" w:line="240" w:lineRule="auto"/>
              <w:jc w:val="both"/>
              <w:rPr>
                <w:rFonts w:ascii="Times New Roman" w:eastAsia="Calibri" w:hAnsi="Times New Roman" w:cs="Times New Roman"/>
                <w:b/>
                <w:bCs/>
                <w:szCs w:val="20"/>
                <w:u w:val="single"/>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C. Acţiuni noi identificate pentru anii 2016-2018.</w:t>
            </w:r>
          </w:p>
        </w:tc>
      </w:tr>
      <w:tr w:rsidR="003D495D" w:rsidRPr="003D495D" w:rsidTr="009D346D">
        <w:trPr>
          <w:trHeight w:val="850"/>
        </w:trPr>
        <w:tc>
          <w:tcPr>
            <w:tcW w:w="3372" w:type="dxa"/>
            <w:vMerge/>
            <w:tcBorders>
              <w:left w:val="single" w:sz="4" w:space="0" w:color="auto"/>
              <w:right w:val="single" w:sz="4" w:space="0" w:color="auto"/>
            </w:tcBorders>
          </w:tcPr>
          <w:p w:rsidR="003D495D" w:rsidRPr="003D495D" w:rsidRDefault="003D495D" w:rsidP="003D495D">
            <w:pPr>
              <w:spacing w:after="0" w:line="240" w:lineRule="auto"/>
              <w:jc w:val="both"/>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Indexarea salariilor angajaţilor, conform politicii noi salariale</w:t>
            </w:r>
          </w:p>
        </w:tc>
        <w:tc>
          <w:tcPr>
            <w:tcW w:w="1789"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Proiect de lege, Hotărîre de Guvern prezentate Guvernului în anul </w:t>
            </w:r>
            <w:r w:rsidRPr="003D495D">
              <w:rPr>
                <w:rFonts w:ascii="Times New Roman" w:eastAsia="Calibri" w:hAnsi="Times New Roman" w:cs="Times New Roman"/>
                <w:color w:val="FF0000"/>
                <w:szCs w:val="20"/>
              </w:rPr>
              <w:t>2016</w:t>
            </w:r>
          </w:p>
        </w:tc>
      </w:tr>
      <w:tr w:rsidR="003D495D" w:rsidRPr="003D495D" w:rsidTr="009D346D">
        <w:trPr>
          <w:trHeight w:val="850"/>
        </w:trPr>
        <w:tc>
          <w:tcPr>
            <w:tcW w:w="3372" w:type="dxa"/>
            <w:vMerge/>
            <w:tcBorders>
              <w:left w:val="single" w:sz="4" w:space="0" w:color="auto"/>
              <w:right w:val="single" w:sz="4" w:space="0" w:color="auto"/>
            </w:tcBorders>
          </w:tcPr>
          <w:p w:rsidR="003D495D" w:rsidRPr="003D495D" w:rsidRDefault="003D495D" w:rsidP="003D495D">
            <w:pPr>
              <w:spacing w:after="0" w:line="240" w:lineRule="auto"/>
              <w:jc w:val="both"/>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Racordarea beneficiarilor la bazele clinice în vederea atingerii normativelor pentru instruirea postuniversitară prin rezidenţiat (raportul rezident – pacient, rezident – investigaţie – intervenţie)</w:t>
            </w:r>
          </w:p>
        </w:tc>
        <w:tc>
          <w:tcPr>
            <w:tcW w:w="1789"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Normative realizate anual</w:t>
            </w:r>
          </w:p>
        </w:tc>
      </w:tr>
      <w:tr w:rsidR="003D495D" w:rsidRPr="003D495D" w:rsidTr="009D346D">
        <w:trPr>
          <w:trHeight w:val="814"/>
        </w:trPr>
        <w:tc>
          <w:tcPr>
            <w:tcW w:w="3372" w:type="dxa"/>
            <w:vMerge/>
            <w:tcBorders>
              <w:left w:val="single" w:sz="4" w:space="0" w:color="auto"/>
              <w:right w:val="single" w:sz="4" w:space="0" w:color="auto"/>
            </w:tcBorders>
          </w:tcPr>
          <w:p w:rsidR="003D495D" w:rsidRPr="003D495D" w:rsidRDefault="003D495D" w:rsidP="003D495D">
            <w:pPr>
              <w:spacing w:after="0" w:line="240" w:lineRule="auto"/>
              <w:jc w:val="both"/>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nil"/>
            </w:tcBorders>
          </w:tcPr>
          <w:p w:rsidR="003D495D" w:rsidRPr="003D495D" w:rsidRDefault="003D495D" w:rsidP="003D495D">
            <w:pPr>
              <w:spacing w:after="0" w:line="240" w:lineRule="auto"/>
              <w:jc w:val="both"/>
              <w:rPr>
                <w:rFonts w:ascii="Times New Roman" w:eastAsia="Calibri" w:hAnsi="Times New Roman" w:cs="Times New Roman"/>
                <w:szCs w:val="20"/>
              </w:rPr>
            </w:pPr>
            <w:r w:rsidRPr="003D495D">
              <w:rPr>
                <w:rFonts w:ascii="Times New Roman" w:eastAsia="Calibri" w:hAnsi="Times New Roman" w:cs="Times New Roman"/>
                <w:szCs w:val="20"/>
              </w:rPr>
              <w:t>Completarea cu 10 la sută mai mult ca normativele în vigoare a grupelor de audienţi</w:t>
            </w:r>
          </w:p>
        </w:tc>
        <w:tc>
          <w:tcPr>
            <w:tcW w:w="1789" w:type="dxa"/>
            <w:tcBorders>
              <w:top w:val="single" w:sz="4" w:space="0" w:color="auto"/>
              <w:left w:val="single" w:sz="4" w:space="0" w:color="auto"/>
              <w:bottom w:val="single" w:sz="4" w:space="0" w:color="auto"/>
              <w:right w:val="nil"/>
            </w:tcBorders>
            <w:shd w:val="clear" w:color="auto" w:fill="FFFFFF" w:themeFill="background1"/>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both"/>
              <w:rPr>
                <w:rFonts w:ascii="Times New Roman" w:eastAsia="Calibri" w:hAnsi="Times New Roman" w:cs="Times New Roman"/>
                <w:szCs w:val="20"/>
              </w:rPr>
            </w:pPr>
            <w:r w:rsidRPr="003D495D">
              <w:rPr>
                <w:rFonts w:ascii="Times New Roman" w:eastAsia="Calibri" w:hAnsi="Times New Roman" w:cs="Times New Roman"/>
                <w:szCs w:val="20"/>
              </w:rPr>
              <w:t xml:space="preserve">- Majorarea cu 10 la sută a numărului de cursanţi în anii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2017</w:t>
            </w:r>
          </w:p>
        </w:tc>
      </w:tr>
      <w:tr w:rsidR="003D495D" w:rsidRPr="003D495D" w:rsidTr="009D346D">
        <w:trPr>
          <w:trHeight w:val="1085"/>
        </w:trPr>
        <w:tc>
          <w:tcPr>
            <w:tcW w:w="3372" w:type="dxa"/>
            <w:vMerge/>
            <w:tcBorders>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nil"/>
              <w:left w:val="single" w:sz="4" w:space="0" w:color="auto"/>
              <w:bottom w:val="single" w:sz="4" w:space="0" w:color="auto"/>
              <w:right w:val="nil"/>
            </w:tcBorders>
          </w:tcPr>
          <w:p w:rsidR="003D495D" w:rsidRPr="003D495D" w:rsidRDefault="003D495D" w:rsidP="003D495D">
            <w:pPr>
              <w:spacing w:after="0" w:line="240" w:lineRule="auto"/>
              <w:jc w:val="both"/>
              <w:rPr>
                <w:rFonts w:ascii="Times New Roman" w:eastAsia="Calibri" w:hAnsi="Times New Roman" w:cs="Times New Roman"/>
                <w:szCs w:val="20"/>
              </w:rPr>
            </w:pPr>
            <w:r w:rsidRPr="003D495D">
              <w:rPr>
                <w:rFonts w:ascii="Times New Roman" w:eastAsia="Calibri" w:hAnsi="Times New Roman" w:cs="Times New Roman"/>
                <w:szCs w:val="20"/>
              </w:rPr>
              <w:t>Indexarea burselor pentru rezidenţi şi pentru medicii secundari clinici</w:t>
            </w:r>
          </w:p>
        </w:tc>
        <w:tc>
          <w:tcPr>
            <w:tcW w:w="1789" w:type="dxa"/>
            <w:tcBorders>
              <w:top w:val="nil"/>
              <w:left w:val="single" w:sz="4" w:space="0" w:color="auto"/>
              <w:bottom w:val="single" w:sz="4" w:space="0" w:color="auto"/>
              <w:right w:val="nil"/>
            </w:tcBorders>
            <w:shd w:val="clear" w:color="auto" w:fill="FFFFFF" w:themeFill="background1"/>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nil"/>
              <w:left w:val="single" w:sz="4" w:space="0" w:color="auto"/>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nil"/>
              <w:left w:val="single" w:sz="4" w:space="0" w:color="auto"/>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nil"/>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Cu  6,4%  la sută majorate bursele în anul </w:t>
            </w:r>
            <w:r w:rsidRPr="003D495D">
              <w:rPr>
                <w:rFonts w:ascii="Times New Roman" w:eastAsia="Calibri" w:hAnsi="Times New Roman" w:cs="Times New Roman"/>
                <w:color w:val="FF0000"/>
                <w:szCs w:val="20"/>
              </w:rPr>
              <w:t>2016</w:t>
            </w:r>
          </w:p>
        </w:tc>
      </w:tr>
      <w:tr w:rsidR="003D495D" w:rsidRPr="003D495D" w:rsidTr="009D346D">
        <w:trPr>
          <w:trHeight w:val="240"/>
        </w:trPr>
        <w:tc>
          <w:tcPr>
            <w:tcW w:w="3372" w:type="dxa"/>
            <w:tcBorders>
              <w:top w:val="nil"/>
              <w:left w:val="single" w:sz="4" w:space="0" w:color="auto"/>
              <w:bottom w:val="single" w:sz="4" w:space="0" w:color="auto"/>
              <w:right w:val="nil"/>
            </w:tcBorders>
            <w:shd w:val="clear" w:color="000000" w:fill="FFCC99"/>
          </w:tcPr>
          <w:p w:rsidR="003D495D" w:rsidRPr="003D495D" w:rsidRDefault="003D495D" w:rsidP="003D495D">
            <w:pPr>
              <w:spacing w:after="0" w:line="240" w:lineRule="auto"/>
              <w:rPr>
                <w:rFonts w:ascii="Times New Roman" w:eastAsia="Calibri" w:hAnsi="Times New Roman" w:cs="Times New Roman"/>
                <w:b/>
                <w:bCs/>
                <w:i/>
                <w:iCs/>
                <w:szCs w:val="20"/>
              </w:rPr>
            </w:pPr>
            <w:r w:rsidRPr="003D495D">
              <w:rPr>
                <w:rFonts w:ascii="Times New Roman" w:eastAsia="Calibri" w:hAnsi="Times New Roman" w:cs="Times New Roman"/>
                <w:b/>
                <w:bCs/>
                <w:i/>
                <w:iCs/>
                <w:szCs w:val="20"/>
              </w:rPr>
              <w:t>Costul subprogramului</w:t>
            </w:r>
          </w:p>
        </w:tc>
        <w:tc>
          <w:tcPr>
            <w:tcW w:w="3601" w:type="dxa"/>
            <w:gridSpan w:val="2"/>
            <w:tcBorders>
              <w:top w:val="nil"/>
              <w:left w:val="single" w:sz="4" w:space="0" w:color="auto"/>
              <w:bottom w:val="single" w:sz="4" w:space="0" w:color="auto"/>
              <w:right w:val="nil"/>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i/>
                <w:iCs/>
                <w:szCs w:val="20"/>
                <w:u w:val="single"/>
              </w:rPr>
            </w:pPr>
          </w:p>
        </w:tc>
        <w:tc>
          <w:tcPr>
            <w:tcW w:w="1789" w:type="dxa"/>
            <w:tcBorders>
              <w:top w:val="nil"/>
              <w:left w:val="single" w:sz="4" w:space="0" w:color="auto"/>
              <w:bottom w:val="single" w:sz="4" w:space="0" w:color="auto"/>
              <w:right w:val="nil"/>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nil"/>
              <w:left w:val="single" w:sz="4" w:space="0" w:color="auto"/>
              <w:bottom w:val="single" w:sz="4" w:space="0" w:color="auto"/>
              <w:right w:val="nil"/>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nil"/>
              <w:left w:val="single" w:sz="4" w:space="0" w:color="auto"/>
              <w:bottom w:val="single" w:sz="4" w:space="0" w:color="auto"/>
              <w:right w:val="nil"/>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2889" w:type="dxa"/>
            <w:tcBorders>
              <w:top w:val="nil"/>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i/>
                <w:iCs/>
                <w:szCs w:val="20"/>
                <w:u w:val="single"/>
              </w:rPr>
            </w:pPr>
          </w:p>
        </w:tc>
      </w:tr>
      <w:tr w:rsidR="003D495D" w:rsidRPr="003D495D" w:rsidTr="009D346D">
        <w:trPr>
          <w:trHeight w:val="465"/>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Subprogramul 12 „Perfecţionarea cadrelor” </w:t>
            </w:r>
            <w:r w:rsidRPr="003D495D">
              <w:rPr>
                <w:rFonts w:ascii="Times New Roman" w:eastAsia="Calibri" w:hAnsi="Times New Roman" w:cs="Times New Roman"/>
                <w:szCs w:val="20"/>
              </w:rPr>
              <w:t xml:space="preserve"> asigură promovarea politicilor statului în domeniul formării/dezvoltării profesionale continue cadrelor didactice/manageriale şi a unui sistem eficient de evaluare a performanţelor cadrelor didactice/manageriale</w:t>
            </w:r>
          </w:p>
        </w:tc>
      </w:tr>
      <w:tr w:rsidR="003D495D" w:rsidRPr="003D495D" w:rsidTr="009D346D">
        <w:trPr>
          <w:trHeight w:val="495"/>
        </w:trPr>
        <w:tc>
          <w:tcPr>
            <w:tcW w:w="14411" w:type="dxa"/>
            <w:gridSpan w:val="7"/>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Scopul subprogramului: </w:t>
            </w:r>
            <w:r w:rsidRPr="003D495D">
              <w:rPr>
                <w:rFonts w:ascii="Times New Roman" w:eastAsia="Calibri" w:hAnsi="Times New Roman" w:cs="Times New Roman"/>
                <w:szCs w:val="20"/>
              </w:rPr>
              <w:t>Stabilirea cadrului motivaţional pentru formarea continuă a cadrelor didactice/manageriale; Implementarea şi promovarea politicii de stat în domeniul formării continue/atestării cadrelor didactice/manageriale</w:t>
            </w:r>
          </w:p>
        </w:tc>
      </w:tr>
      <w:tr w:rsidR="003D495D" w:rsidRPr="003D495D" w:rsidTr="009D346D">
        <w:trPr>
          <w:trHeight w:val="270"/>
        </w:trPr>
        <w:tc>
          <w:tcPr>
            <w:tcW w:w="3372" w:type="dxa"/>
            <w:tcBorders>
              <w:top w:val="nil"/>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Probleme cheie</w:t>
            </w:r>
          </w:p>
        </w:tc>
        <w:tc>
          <w:tcPr>
            <w:tcW w:w="11039" w:type="dxa"/>
            <w:gridSpan w:val="6"/>
            <w:tcBorders>
              <w:top w:val="nil"/>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A. Acţiuni curente</w:t>
            </w:r>
          </w:p>
        </w:tc>
      </w:tr>
      <w:tr w:rsidR="003D495D" w:rsidRPr="003D495D" w:rsidTr="009D346D">
        <w:trPr>
          <w:trHeight w:val="982"/>
        </w:trPr>
        <w:tc>
          <w:tcPr>
            <w:tcW w:w="3372" w:type="dxa"/>
            <w:vMerge w:val="restart"/>
            <w:tcBorders>
              <w:top w:val="single" w:sz="4" w:space="0" w:color="auto"/>
              <w:left w:val="single" w:sz="4" w:space="0" w:color="auto"/>
              <w:right w:val="single" w:sz="4" w:space="0" w:color="auto"/>
            </w:tcBorders>
            <w:shd w:val="clear" w:color="000000" w:fill="FFFFFF"/>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Lipsa cunoştinţelor specifice cadrelor din instituţiile de învăţământ general, care şcolarizează copii cu cerinţe educaţionale speciale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Modificările în statele de personal necesită formări ale funcţionarilor publici în domeniul elaborării şi monitorizării politicilor de dezvoltare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Bază juridică şi metodologică insuficientă pentru satisfacerea cererii de formare profesională continuă a cadrelor didactice şi manageriale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Formarea insuficientă a cadrelor didactice şi manageriale universitare şi preuniversitare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xml:space="preserve">- Competenţe insuficiente a personalului din sistemul </w:t>
            </w:r>
            <w:r w:rsidRPr="003D495D">
              <w:rPr>
                <w:rFonts w:ascii="Times New Roman" w:eastAsia="Calibri" w:hAnsi="Times New Roman" w:cs="Times New Roman"/>
                <w:bCs/>
                <w:szCs w:val="20"/>
              </w:rPr>
              <w:lastRenderedPageBreak/>
              <w:t xml:space="preserve">educaţional pentru implementarea educaţiei incluzive </w:t>
            </w:r>
          </w:p>
          <w:p w:rsidR="003D495D" w:rsidRPr="003D495D" w:rsidRDefault="003D495D" w:rsidP="003D495D">
            <w:pPr>
              <w:spacing w:after="0" w:line="240" w:lineRule="auto"/>
              <w:rPr>
                <w:rFonts w:ascii="Times New Roman" w:eastAsia="Calibri" w:hAnsi="Times New Roman" w:cs="Times New Roman"/>
                <w:bCs/>
                <w:szCs w:val="20"/>
              </w:rPr>
            </w:pPr>
          </w:p>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szCs w:val="20"/>
                <w:lang w:val="es-AR"/>
              </w:rPr>
              <w:t xml:space="preserve">- </w:t>
            </w:r>
            <w:r w:rsidRPr="003D495D">
              <w:rPr>
                <w:rFonts w:ascii="Times New Roman" w:eastAsia="Calibri" w:hAnsi="Times New Roman" w:cs="Times New Roman"/>
                <w:szCs w:val="20"/>
              </w:rPr>
              <w:t>Formarea insuficientă a cadrelor didactice şi manageriale din învățămîntul primar</w:t>
            </w:r>
          </w:p>
          <w:p w:rsidR="003D495D" w:rsidRPr="003D495D" w:rsidRDefault="003D495D" w:rsidP="003D495D">
            <w:pPr>
              <w:spacing w:after="0" w:line="240" w:lineRule="auto"/>
              <w:rPr>
                <w:rFonts w:ascii="Times New Roman" w:eastAsia="Calibri" w:hAnsi="Times New Roman" w:cs="Times New Roman"/>
                <w:bCs/>
                <w:szCs w:val="20"/>
              </w:rPr>
            </w:pP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B. Obiective de politici pe termen mediu</w:t>
            </w:r>
          </w:p>
          <w:p w:rsidR="003D495D" w:rsidRPr="003D495D" w:rsidRDefault="003D495D" w:rsidP="003D495D">
            <w:pPr>
              <w:spacing w:after="0" w:line="240" w:lineRule="auto"/>
              <w:rPr>
                <w:rFonts w:ascii="Times New Roman" w:eastAsia="Calibri" w:hAnsi="Times New Roman" w:cs="Times New Roman"/>
                <w:b/>
                <w:bCs/>
                <w:szCs w:val="20"/>
                <w:u w:val="single"/>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Ajustarea sistemului de instruire continuă a personalului didactic, la cerinţele educaţiei centrate pe copil, inclusiv, pentru copii cu CES, prin modernizarea modulului psihopedagogic</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Perfecţionarea bazei juridice şi metodologice, privind formarea continuă a cadrelor, în conformitate cu programul comunitar Life Long Learing (LLL), inclusiv, implementarea metodelor moderne de instruire la distanţă în anul </w:t>
            </w:r>
            <w:r w:rsidRPr="003D495D">
              <w:rPr>
                <w:rFonts w:ascii="Times New Roman" w:eastAsia="Calibri" w:hAnsi="Times New Roman" w:cs="Times New Roman"/>
                <w:color w:val="FF0000"/>
                <w:szCs w:val="20"/>
              </w:rPr>
              <w:t>2016</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Instituirea/ajustarea structurilor, formelor, unităţilor de personal etc., pentru asigurarea asistenţei psihopedagogice necesare dezvoltării copilului cu cerinţe educative speciale (servicii, centre, cadru didactic de sprijin, psiholog, asistent social etc.)</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Implementarea în anul </w:t>
            </w:r>
            <w:r w:rsidRPr="003D495D">
              <w:rPr>
                <w:rFonts w:ascii="Times New Roman" w:eastAsia="Calibri" w:hAnsi="Times New Roman" w:cs="Times New Roman"/>
                <w:color w:val="FF0000"/>
                <w:szCs w:val="20"/>
              </w:rPr>
              <w:t xml:space="preserve">2016 </w:t>
            </w:r>
            <w:r w:rsidRPr="003D495D">
              <w:rPr>
                <w:rFonts w:ascii="Times New Roman" w:eastAsia="Calibri" w:hAnsi="Times New Roman" w:cs="Times New Roman"/>
                <w:szCs w:val="20"/>
              </w:rPr>
              <w:t>a unui sistem de formare profesională continuă a cadrelor didactice şi manageriale din învăţămînt</w:t>
            </w:r>
            <w:r w:rsidRPr="003D495D">
              <w:rPr>
                <w:rFonts w:ascii="Times New Roman" w:eastAsia="Calibri" w:hAnsi="Times New Roman" w:cs="Times New Roman"/>
                <w:szCs w:val="20"/>
                <w:u w:val="single"/>
              </w:rPr>
              <w:t>,</w:t>
            </w:r>
            <w:r w:rsidRPr="003D495D">
              <w:rPr>
                <w:rFonts w:ascii="Times New Roman" w:eastAsia="Calibri" w:hAnsi="Times New Roman" w:cs="Times New Roman"/>
                <w:szCs w:val="20"/>
              </w:rPr>
              <w:t xml:space="preserve"> centrat pe acumularea </w:t>
            </w:r>
            <w:r w:rsidRPr="003D495D">
              <w:rPr>
                <w:rFonts w:ascii="Times New Roman" w:eastAsia="Calibri" w:hAnsi="Times New Roman" w:cs="Times New Roman"/>
                <w:szCs w:val="20"/>
              </w:rPr>
              <w:lastRenderedPageBreak/>
              <w:t>de credite profesionale şi autoformare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Asigurarea formării profesionale continue a 25 cadre didactice în cadrul Protocolului de colaborare în domeniul educaţiei cu Ucraina anual.</w:t>
            </w: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Susţinerea activităţii continue în perfecţionarea cadrelor</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- 20 la sută din numărul total al cadrelor didactice care beneficiază anual de formare continuă </w:t>
            </w:r>
          </w:p>
        </w:tc>
      </w:tr>
      <w:tr w:rsidR="003D495D" w:rsidRPr="003D495D" w:rsidTr="009D346D">
        <w:trPr>
          <w:trHeight w:val="954"/>
        </w:trPr>
        <w:tc>
          <w:tcPr>
            <w:tcW w:w="3372" w:type="dxa"/>
            <w:vMerge/>
            <w:tcBorders>
              <w:left w:val="single" w:sz="4" w:space="0" w:color="auto"/>
              <w:right w:val="single" w:sz="4" w:space="0" w:color="auto"/>
            </w:tcBorders>
            <w:shd w:val="clear" w:color="000000" w:fill="FFFFFF"/>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nil"/>
              <w:right w:val="single" w:sz="4" w:space="0" w:color="auto"/>
            </w:tcBorders>
            <w:shd w:val="clear" w:color="000000" w:fill="FFFFFF"/>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Asigurarea și controlul calităţii instruirii și perfecţionării cadrelor medicale cu studii medii de specialitate</w:t>
            </w:r>
          </w:p>
        </w:tc>
        <w:tc>
          <w:tcPr>
            <w:tcW w:w="1789"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nil"/>
              <w:right w:val="single" w:sz="4" w:space="0" w:color="auto"/>
            </w:tcBorders>
          </w:tcPr>
          <w:p w:rsidR="003D495D" w:rsidRPr="003D495D" w:rsidRDefault="003D495D" w:rsidP="003D495D">
            <w:pPr>
              <w:numPr>
                <w:ilvl w:val="0"/>
                <w:numId w:val="15"/>
              </w:numPr>
              <w:spacing w:after="0" w:line="240" w:lineRule="auto"/>
              <w:ind w:left="201" w:hanging="201"/>
              <w:rPr>
                <w:rFonts w:ascii="Times New Roman" w:eastAsia="Calibri" w:hAnsi="Times New Roman" w:cs="Times New Roman"/>
                <w:szCs w:val="20"/>
              </w:rPr>
            </w:pPr>
            <w:r w:rsidRPr="003D495D">
              <w:rPr>
                <w:rFonts w:ascii="Times New Roman" w:eastAsia="Calibri" w:hAnsi="Times New Roman" w:cs="Times New Roman"/>
                <w:szCs w:val="20"/>
              </w:rPr>
              <w:t xml:space="preserve"> 13 programe (curriculum) actualizate/dezvoltate</w:t>
            </w:r>
          </w:p>
        </w:tc>
      </w:tr>
      <w:tr w:rsidR="003D495D" w:rsidRPr="003D495D" w:rsidTr="009D346D">
        <w:trPr>
          <w:trHeight w:val="2136"/>
        </w:trPr>
        <w:tc>
          <w:tcPr>
            <w:tcW w:w="3372" w:type="dxa"/>
            <w:vMerge/>
            <w:tcBorders>
              <w:left w:val="single" w:sz="4" w:space="0" w:color="auto"/>
              <w:right w:val="single" w:sz="4" w:space="0" w:color="auto"/>
            </w:tcBorders>
            <w:shd w:val="clear" w:color="000000" w:fill="FFFFFF"/>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Modernizarea procesului de formare continuă prin implementarea noilor forme de instruire, bazate pe tehnologii educaţionale şi informaţionale performante, inclusiv, instruirea la distanţă, aplicarea metodelor virtuale de instruire, monitorizarea formării</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Cadrul normativ în domeniul formării profesionale continue aprobat în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 xml:space="preserve"> 2017, 2018,2019</w:t>
            </w:r>
          </w:p>
        </w:tc>
      </w:tr>
      <w:tr w:rsidR="003D495D" w:rsidRPr="003D495D" w:rsidTr="009D346D">
        <w:trPr>
          <w:trHeight w:val="111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Crearea condiţiilor flexibile de instruire prin implicarea mai multor actori (sector privat, instituţii multidisciplinare)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Metodologie de formare continuă racordată la programul comunitar LLL şi implementată în </w:t>
            </w:r>
            <w:r w:rsidRPr="003D495D">
              <w:rPr>
                <w:rFonts w:ascii="Times New Roman" w:eastAsia="Calibri" w:hAnsi="Times New Roman" w:cs="Times New Roman"/>
                <w:color w:val="FF0000"/>
                <w:szCs w:val="20"/>
              </w:rPr>
              <w:t>2016</w:t>
            </w:r>
          </w:p>
        </w:tc>
      </w:tr>
      <w:tr w:rsidR="003D495D" w:rsidRPr="003D495D" w:rsidTr="009D346D">
        <w:trPr>
          <w:trHeight w:val="114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Formarea personalului din sistemul educaţional în domeniul educaţiei incluzive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Circa 1800 de cadre didactice şi din sistemul educaţional formate anual în domeniul educaţiei incluzive</w:t>
            </w:r>
          </w:p>
        </w:tc>
      </w:tr>
      <w:tr w:rsidR="003D495D" w:rsidRPr="003D495D" w:rsidTr="009D346D">
        <w:trPr>
          <w:trHeight w:val="114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Crearea condiţiilor flexibile de instruire a cadrelor didactice din învățămîntul primar prin implicarea mai multor actori</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Circa 8000 de cadre didactice din învățămîntul primar formate anual în domeniul evaluării criteriale în bază de descriptori în </w:t>
            </w:r>
            <w:r w:rsidRPr="003D495D">
              <w:rPr>
                <w:rFonts w:ascii="Times New Roman" w:eastAsia="Calibri" w:hAnsi="Times New Roman" w:cs="Times New Roman"/>
                <w:color w:val="FF0000"/>
                <w:szCs w:val="20"/>
              </w:rPr>
              <w:t xml:space="preserve">2016, </w:t>
            </w:r>
            <w:r w:rsidRPr="003D495D">
              <w:rPr>
                <w:rFonts w:ascii="Times New Roman" w:eastAsia="Calibri" w:hAnsi="Times New Roman" w:cs="Times New Roman"/>
                <w:szCs w:val="20"/>
              </w:rPr>
              <w:t>2017, 2018,2019</w:t>
            </w:r>
          </w:p>
        </w:tc>
      </w:tr>
      <w:tr w:rsidR="003D495D" w:rsidRPr="003D495D" w:rsidTr="009D346D">
        <w:trPr>
          <w:trHeight w:val="1122"/>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u w:val="single"/>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Sporirea nivelului profesional al corpului profesoral-didactic prin perfecţionare la centrele universitare de formare continuă</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 la suta din personalul profesoral-didactic format privind competențele profesionale</w:t>
            </w:r>
          </w:p>
        </w:tc>
      </w:tr>
      <w:tr w:rsidR="003D495D" w:rsidRPr="003D495D" w:rsidTr="009D346D">
        <w:trPr>
          <w:trHeight w:val="1846"/>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Diversificarea oportunităţilor de prestare a serviciilor de formare continuă a cadrelor din educaţie, cultură, medicină, agricultură, a cadrelor de conducere si a funcționarilor publici, inclusiv, contra plată </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- 1600 cadre didactice instruite la modulul psihopedagogic modernizat către anul 2017</w:t>
            </w:r>
          </w:p>
        </w:tc>
      </w:tr>
      <w:tr w:rsidR="003D495D" w:rsidRPr="003D495D" w:rsidTr="009D346D">
        <w:trPr>
          <w:trHeight w:val="94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Organizarea formărilor interne a funcţionarilor publici şi delegarea lor la formări externe din cadrul AAP şi altor instituţii şi organizaţii naţionale şi internaţionale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Circa 20 la sută de funcționari publici formați</w:t>
            </w:r>
          </w:p>
        </w:tc>
      </w:tr>
      <w:tr w:rsidR="003D495D" w:rsidRPr="003D495D" w:rsidTr="009D346D">
        <w:trPr>
          <w:trHeight w:val="82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Organizarea sesiunii de atestare a cadrelor didactice (avansarea în cariera didactică</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- 5000 de cadre didactice şi manageriale atestate către anul 2017</w:t>
            </w:r>
          </w:p>
        </w:tc>
      </w:tr>
      <w:tr w:rsidR="003D495D" w:rsidRPr="003D495D" w:rsidTr="009D346D">
        <w:trPr>
          <w:trHeight w:val="846"/>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Consolidarea capacităţilor de formare profesională a cadrelor didactice din domeniul arte</w:t>
            </w:r>
          </w:p>
        </w:tc>
        <w:tc>
          <w:tcPr>
            <w:tcW w:w="1789"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- 3000 de cadre didactice şi manageriale instruite către anul 2017</w:t>
            </w:r>
          </w:p>
        </w:tc>
      </w:tr>
      <w:tr w:rsidR="003D495D" w:rsidRPr="003D495D" w:rsidTr="009D346D">
        <w:trPr>
          <w:trHeight w:val="276"/>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B. Acţiuni ce duc la o utilizare mai eficace şi eficientă a resurselor</w:t>
            </w:r>
          </w:p>
        </w:tc>
      </w:tr>
      <w:tr w:rsidR="003D495D" w:rsidRPr="003D495D" w:rsidTr="009D346D">
        <w:trPr>
          <w:trHeight w:val="1557"/>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szCs w:val="20"/>
              </w:rPr>
              <w:t xml:space="preserve">Implementarea sistemului de credite profesionale pentru asigurarea mobilităţii şi dezvoltării profesionale </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- 30 la sută din personal didactic implementează sistemul de credite profesionale </w:t>
            </w:r>
            <w:r w:rsidRPr="003D495D">
              <w:rPr>
                <w:rFonts w:ascii="Times New Roman" w:eastAsia="Calibri" w:hAnsi="Times New Roman" w:cs="Times New Roman"/>
                <w:sz w:val="24"/>
                <w:szCs w:val="24"/>
              </w:rPr>
              <w:t>pentru asigurarea mobilităţii şi dezvoltării profesionale</w:t>
            </w:r>
          </w:p>
        </w:tc>
      </w:tr>
      <w:tr w:rsidR="003D495D" w:rsidRPr="003D495D" w:rsidTr="009D346D">
        <w:trPr>
          <w:trHeight w:val="659"/>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contextualSpacing/>
              <w:rPr>
                <w:rFonts w:ascii="Times New Roman" w:eastAsia="Calibri" w:hAnsi="Times New Roman" w:cs="Times New Roman"/>
                <w:b/>
                <w:bCs/>
                <w:szCs w:val="20"/>
                <w:u w:val="single"/>
              </w:rPr>
            </w:pPr>
            <w:r w:rsidRPr="003D495D">
              <w:rPr>
                <w:rFonts w:ascii="Times New Roman" w:eastAsia="Calibri" w:hAnsi="Times New Roman" w:cs="Times New Roman"/>
                <w:szCs w:val="20"/>
              </w:rPr>
              <w:t>Utilizarea sistemului de e-learning în formarea continuă a cadrelor didactice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- 20 la sută din personal didactic instruit</w:t>
            </w:r>
          </w:p>
        </w:tc>
      </w:tr>
      <w:tr w:rsidR="003D495D" w:rsidRPr="003D495D" w:rsidTr="009D346D">
        <w:trPr>
          <w:trHeight w:val="852"/>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Sporirea calităţii educaţiei incluzive prin formarea cadrelor didactice din sistemul educaţional</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bCs/>
                <w:szCs w:val="20"/>
              </w:rPr>
              <w:t>- 10 la sută de cadre didactice instruite anual, privind educația incluzivă</w:t>
            </w:r>
          </w:p>
        </w:tc>
      </w:tr>
      <w:tr w:rsidR="003D495D" w:rsidRPr="003D495D" w:rsidTr="009D346D">
        <w:trPr>
          <w:trHeight w:val="411"/>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C. Acţiuni noi identificate pentru anii 2016-2018</w:t>
            </w:r>
          </w:p>
        </w:tc>
      </w:tr>
      <w:tr w:rsidR="003D495D" w:rsidRPr="003D495D" w:rsidTr="009D346D">
        <w:trPr>
          <w:trHeight w:val="162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contextualSpacing/>
              <w:rPr>
                <w:rFonts w:ascii="Times New Roman" w:eastAsia="Calibri" w:hAnsi="Times New Roman" w:cs="Times New Roman"/>
                <w:szCs w:val="20"/>
              </w:rPr>
            </w:pPr>
            <w:r w:rsidRPr="003D495D">
              <w:rPr>
                <w:rFonts w:ascii="Times New Roman" w:eastAsia="Calibri" w:hAnsi="Times New Roman" w:cs="Times New Roman"/>
                <w:szCs w:val="20"/>
              </w:rPr>
              <w:t>Implementarea programelor de incluziune profesională a tinerilor specialişti, a programelor de mentorat menite să sprijine debutul în cariera didactică</w:t>
            </w:r>
          </w:p>
        </w:tc>
        <w:tc>
          <w:tcPr>
            <w:tcW w:w="1789" w:type="dxa"/>
            <w:tcBorders>
              <w:top w:val="single" w:sz="4" w:space="0" w:color="auto"/>
              <w:left w:val="nil"/>
              <w:bottom w:val="single" w:sz="4" w:space="0" w:color="auto"/>
              <w:right w:val="single" w:sz="4" w:space="0" w:color="auto"/>
            </w:tcBorders>
            <w:shd w:val="clear" w:color="auto" w:fill="FFFFFF" w:themeFill="background1"/>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 programe de incluziune profesională elaborate către anul 2017</w:t>
            </w:r>
          </w:p>
        </w:tc>
      </w:tr>
      <w:tr w:rsidR="003D495D" w:rsidRPr="003D495D" w:rsidTr="009D346D">
        <w:trPr>
          <w:trHeight w:val="847"/>
        </w:trPr>
        <w:tc>
          <w:tcPr>
            <w:tcW w:w="3372" w:type="dxa"/>
            <w:vMerge/>
            <w:tcBorders>
              <w:left w:val="single" w:sz="4" w:space="0" w:color="auto"/>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Organizarea cursurilor de formare profesională continuă pentru profesorii din Ucraina.</w:t>
            </w:r>
          </w:p>
        </w:tc>
        <w:tc>
          <w:tcPr>
            <w:tcW w:w="1789" w:type="dxa"/>
            <w:tcBorders>
              <w:top w:val="single" w:sz="4" w:space="0" w:color="auto"/>
              <w:left w:val="nil"/>
              <w:bottom w:val="single" w:sz="4" w:space="0" w:color="auto"/>
              <w:right w:val="single" w:sz="4" w:space="0" w:color="auto"/>
            </w:tcBorders>
            <w:shd w:val="clear" w:color="auto" w:fill="FFFFFF" w:themeFill="background1"/>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- 25 de cadre didactice instruite anual</w:t>
            </w:r>
          </w:p>
        </w:tc>
      </w:tr>
      <w:tr w:rsidR="003D495D" w:rsidRPr="003D495D" w:rsidTr="009D346D">
        <w:trPr>
          <w:trHeight w:val="300"/>
        </w:trPr>
        <w:tc>
          <w:tcPr>
            <w:tcW w:w="3372" w:type="dxa"/>
            <w:tcBorders>
              <w:top w:val="single" w:sz="4" w:space="0" w:color="auto"/>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rPr>
                <w:rFonts w:ascii="Times New Roman" w:eastAsia="Calibri" w:hAnsi="Times New Roman" w:cs="Times New Roman"/>
                <w:b/>
                <w:bCs/>
                <w:i/>
                <w:szCs w:val="20"/>
              </w:rPr>
            </w:pPr>
            <w:r w:rsidRPr="003D495D">
              <w:rPr>
                <w:rFonts w:ascii="Times New Roman" w:eastAsia="Calibri" w:hAnsi="Times New Roman" w:cs="Times New Roman"/>
                <w:b/>
                <w:bCs/>
                <w:i/>
                <w:szCs w:val="20"/>
              </w:rPr>
              <w:t>Costul subprogramului</w:t>
            </w:r>
          </w:p>
        </w:tc>
        <w:tc>
          <w:tcPr>
            <w:tcW w:w="3601" w:type="dxa"/>
            <w:gridSpan w:val="2"/>
            <w:tcBorders>
              <w:top w:val="single" w:sz="4" w:space="0" w:color="auto"/>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 </w:t>
            </w:r>
          </w:p>
        </w:tc>
        <w:tc>
          <w:tcPr>
            <w:tcW w:w="1789" w:type="dxa"/>
            <w:tcBorders>
              <w:top w:val="single" w:sz="4" w:space="0" w:color="auto"/>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2889" w:type="dxa"/>
            <w:tcBorders>
              <w:top w:val="single" w:sz="4" w:space="0" w:color="auto"/>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r w:rsidRPr="003D495D">
              <w:rPr>
                <w:rFonts w:ascii="Times New Roman" w:eastAsia="Calibri" w:hAnsi="Times New Roman" w:cs="Times New Roman"/>
                <w:b/>
                <w:bCs/>
                <w:szCs w:val="20"/>
              </w:rPr>
              <w:t> </w:t>
            </w:r>
          </w:p>
        </w:tc>
      </w:tr>
      <w:tr w:rsidR="003D495D" w:rsidRPr="003D495D" w:rsidTr="009D346D">
        <w:trPr>
          <w:trHeight w:val="300"/>
        </w:trPr>
        <w:tc>
          <w:tcPr>
            <w:tcW w:w="14411" w:type="dxa"/>
            <w:gridSpan w:val="7"/>
            <w:tcBorders>
              <w:top w:val="single" w:sz="4" w:space="0" w:color="auto"/>
              <w:left w:val="single" w:sz="4" w:space="0" w:color="auto"/>
              <w:bottom w:val="nil"/>
              <w:right w:val="single" w:sz="4" w:space="0" w:color="000000"/>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Subprogramul 13 „Servicii generale în educaţie”</w:t>
            </w:r>
            <w:r w:rsidRPr="003D495D">
              <w:rPr>
                <w:rFonts w:ascii="Times New Roman" w:eastAsia="Calibri" w:hAnsi="Times New Roman" w:cs="Times New Roman"/>
                <w:szCs w:val="20"/>
              </w:rPr>
              <w:t xml:space="preserve"> reprezintă un ansamblu de activităţi în vederea suportului implementării serviciilor educaţionale, inclusiv prin menţinerea serviciilor  de asistenţă psihopedagogică la nivel republican şi raional/municipal, cabinetelor metodice, contabilităţilor centralizate şi altor servicii prestate într-un mod centralizat de către autorităţile publice responsabile de educaţie.</w:t>
            </w:r>
          </w:p>
        </w:tc>
      </w:tr>
      <w:tr w:rsidR="003D495D" w:rsidRPr="003D495D" w:rsidTr="009D346D">
        <w:trPr>
          <w:trHeight w:val="422"/>
        </w:trPr>
        <w:tc>
          <w:tcPr>
            <w:tcW w:w="14411" w:type="dxa"/>
            <w:gridSpan w:val="7"/>
            <w:tcBorders>
              <w:top w:val="single" w:sz="4" w:space="0" w:color="auto"/>
              <w:left w:val="single" w:sz="4" w:space="0" w:color="auto"/>
              <w:bottom w:val="single" w:sz="4" w:space="0" w:color="auto"/>
              <w:right w:val="single" w:sz="4" w:space="0" w:color="000000"/>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Scopul subprogramului: </w:t>
            </w:r>
            <w:r w:rsidRPr="003D495D">
              <w:rPr>
                <w:rFonts w:ascii="Times New Roman" w:eastAsia="Calibri" w:hAnsi="Times New Roman" w:cs="Times New Roman"/>
                <w:szCs w:val="20"/>
              </w:rPr>
              <w:t>Diversificarea serviciilor pentru promovarea politicilor educaţionale şi dezvoltarea potenţialului fiecărui copil.</w:t>
            </w:r>
          </w:p>
        </w:tc>
      </w:tr>
      <w:tr w:rsidR="003D495D" w:rsidRPr="003D495D" w:rsidTr="009D346D">
        <w:trPr>
          <w:trHeight w:val="240"/>
        </w:trPr>
        <w:tc>
          <w:tcPr>
            <w:tcW w:w="3372" w:type="dxa"/>
            <w:tcBorders>
              <w:top w:val="nil"/>
              <w:left w:val="single" w:sz="4" w:space="0" w:color="auto"/>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Probleme cheie</w:t>
            </w:r>
          </w:p>
        </w:tc>
        <w:tc>
          <w:tcPr>
            <w:tcW w:w="11039" w:type="dxa"/>
            <w:gridSpan w:val="6"/>
            <w:tcBorders>
              <w:top w:val="nil"/>
              <w:left w:val="nil"/>
              <w:bottom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Acţiuni curente</w:t>
            </w:r>
          </w:p>
        </w:tc>
      </w:tr>
      <w:tr w:rsidR="003D495D" w:rsidRPr="003D495D" w:rsidTr="009D346D">
        <w:trPr>
          <w:trHeight w:val="1839"/>
        </w:trPr>
        <w:tc>
          <w:tcPr>
            <w:tcW w:w="3372" w:type="dxa"/>
            <w:vMerge w:val="restart"/>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Condiţii nefavorabile integrării sociolingvistice a reprezentanţilor minorităţilor etnice şi a persoanelor migrante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Insuficienţa cursurilor de limba română pentru străini</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Activitatea metodică insuficientă, inclusiv a Cabinetului metodic pe educaţie artistică extraşcolară</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Participarea insuficientă a Republicii Moldova la diverse foruri şi organizaţii internaţionale şi regionale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 Capacităţi reduse ale Centrului Republican de asistenţă psihopedagogică şi ale serviciilor de asistenţă psihopedagogică raionale/municipale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B. Obiective de politici pe termen mediu:</w:t>
            </w:r>
          </w:p>
          <w:p w:rsidR="003D495D" w:rsidRPr="003D495D" w:rsidRDefault="003D495D" w:rsidP="003D495D">
            <w:pPr>
              <w:spacing w:after="0" w:line="240" w:lineRule="auto"/>
              <w:rPr>
                <w:rFonts w:ascii="Times New Roman" w:eastAsia="Calibri" w:hAnsi="Times New Roman" w:cs="Times New Roman"/>
                <w:b/>
                <w:bCs/>
                <w:szCs w:val="20"/>
                <w:u w:val="single"/>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Elaborarea şi implementarea Programului naţional şi a planului de acţiuni pentru sporirea calităţii procesului de învăţare a limbii române în instituţiile de instruire în limbile minorităţilor naţionale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Asigurarea calităţii predării limbii române pentru străini prin monitorizarea, evaluarea şi îmbunătăţirea cursurilor de studiere a limbii române pentru străini</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Promovarea vizibilităţii şi imaginii Republicii Moldova pe arena internaţională în domeniul educaţiei</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Îmbunătăţirea capacităţilor Centrului Republican de asistenţă psihopedagogică şi a serviciilor de asistenţă psihopedagogică, prin acordarea asistenţei specialiştilor acestora</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Îmbunătăţirea capacităţilor Cabinetului metodic pe educaţie artistică extraşcolară</w:t>
            </w:r>
          </w:p>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Asigurarea activității serviciilor de suport în educație, inclusiv a cabinetelor metodice, serviciilor de asistență psihopedagigică, contabilităților centralizate etc.</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Numărul serviciilor de suport funcționale</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Acordarea asistenţei la 100% persoane cu necesităţi</w:t>
            </w:r>
          </w:p>
        </w:tc>
      </w:tr>
      <w:tr w:rsidR="003D495D" w:rsidRPr="003D495D" w:rsidTr="009D346D">
        <w:trPr>
          <w:trHeight w:val="1237"/>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Asigurarea cursurilor de limba română pentru străini </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Cursuri de limbă română organizate anual</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- 90 de străini instruiţi anual</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- 30 de participanţi instruiţi anual</w:t>
            </w:r>
          </w:p>
        </w:tc>
      </w:tr>
      <w:tr w:rsidR="003D495D" w:rsidRPr="003D495D" w:rsidTr="009D346D">
        <w:trPr>
          <w:trHeight w:val="133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Elaborarea şi implementarea programului naţional pentru îmbunătăţirea calităţii învăţării limbii române de către copii şi elevii alolingvi</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Concepţia învăţării limbii române la nivel preşcolar aprobată</w:t>
            </w:r>
          </w:p>
        </w:tc>
      </w:tr>
      <w:tr w:rsidR="003D495D" w:rsidRPr="003D495D" w:rsidTr="009D346D">
        <w:trPr>
          <w:trHeight w:val="1054"/>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Plata cotizaţiei pentru participarea Republicii Moldova la Iniţiativele Consiliului Regional de Cooperare (CRC)  ERI SEE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Plata cotizațiilor achitată</w:t>
            </w:r>
          </w:p>
        </w:tc>
      </w:tr>
      <w:tr w:rsidR="003D495D" w:rsidRPr="003D495D" w:rsidTr="009D346D">
        <w:trPr>
          <w:trHeight w:val="1272"/>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Plata cotizației anuale pentru participarea Ministerului Educației, în calitate de membru Guvernamental, la Registrul European de Asigurare a Calității în ÎS (EQAR) </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Plata cotizațiilor achitată</w:t>
            </w:r>
          </w:p>
        </w:tc>
      </w:tr>
      <w:tr w:rsidR="003D495D" w:rsidRPr="003D495D" w:rsidTr="009D346D">
        <w:trPr>
          <w:trHeight w:val="103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Realizarea unui seminar internațional în cadrul  Programului Pestalozzi </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Seminar organizat și desfășurat: 30 de participanți, din care 15 participanți internaționali</w:t>
            </w:r>
          </w:p>
        </w:tc>
      </w:tr>
      <w:tr w:rsidR="003D495D" w:rsidRPr="003D495D" w:rsidTr="009D346D">
        <w:trPr>
          <w:trHeight w:val="61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Președenția Ministerului Educației la Bologna Folow-up Group (BFUG) </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Organizarea ședinței Bordului de conducere a Bologna Folow-up Group (BFUG)</w:t>
            </w:r>
          </w:p>
        </w:tc>
      </w:tr>
      <w:tr w:rsidR="003D495D" w:rsidRPr="003D495D" w:rsidTr="009D346D">
        <w:trPr>
          <w:trHeight w:val="1371"/>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Participarea Republicii Moldova la PISA 2018:</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(i) plata cotizațiilor (BS)</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(ii) participarea în grupurile de lucru (BS)</w:t>
            </w:r>
          </w:p>
        </w:tc>
        <w:tc>
          <w:tcPr>
            <w:tcW w:w="1789" w:type="dxa"/>
            <w:tcBorders>
              <w:top w:val="single" w:sz="4" w:space="0" w:color="auto"/>
              <w:left w:val="nil"/>
              <w:bottom w:val="single" w:sz="4" w:space="0" w:color="auto"/>
              <w:right w:val="nil"/>
            </w:tcBorders>
            <w:shd w:val="clear" w:color="auto" w:fill="FFFFFF" w:themeFill="background1"/>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hd w:val="clear" w:color="auto" w:fill="FFFFFF" w:themeFill="background1"/>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Raportul cu rezultatele testării  recepționat și analizat (2016) </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Semnarea acordului de participare la PISA 2018.</w:t>
            </w:r>
          </w:p>
        </w:tc>
      </w:tr>
      <w:tr w:rsidR="003D495D" w:rsidRPr="003D495D" w:rsidTr="009D346D">
        <w:trPr>
          <w:trHeight w:val="832"/>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Suport pentru EMIS (sistem informaţional de management al educaţiei) (BS)</w:t>
            </w:r>
          </w:p>
        </w:tc>
        <w:tc>
          <w:tcPr>
            <w:tcW w:w="1789" w:type="dxa"/>
            <w:tcBorders>
              <w:top w:val="single" w:sz="4" w:space="0" w:color="auto"/>
              <w:left w:val="nil"/>
              <w:bottom w:val="single" w:sz="4" w:space="0" w:color="auto"/>
              <w:right w:val="nil"/>
            </w:tcBorders>
            <w:shd w:val="clear" w:color="auto" w:fill="FFFFFF" w:themeFill="background1"/>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EMIS funcţional în anii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2018</w:t>
            </w:r>
          </w:p>
        </w:tc>
      </w:tr>
      <w:tr w:rsidR="003D495D" w:rsidRPr="003D495D" w:rsidTr="009D346D">
        <w:trPr>
          <w:trHeight w:val="419"/>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szCs w:val="20"/>
                <w:u w:val="single"/>
              </w:rPr>
            </w:pPr>
            <w:r w:rsidRPr="003D495D">
              <w:rPr>
                <w:rFonts w:ascii="Times New Roman" w:eastAsia="Calibri" w:hAnsi="Times New Roman" w:cs="Times New Roman"/>
                <w:b/>
                <w:szCs w:val="20"/>
                <w:u w:val="single"/>
              </w:rPr>
              <w:t>B. Acţiuni ce duc la o utilizare mai eficace şi eficientă a resurselor</w:t>
            </w:r>
          </w:p>
          <w:p w:rsidR="003D495D" w:rsidRPr="003D495D" w:rsidRDefault="003D495D" w:rsidP="003D495D">
            <w:pPr>
              <w:spacing w:after="0" w:line="240" w:lineRule="auto"/>
              <w:jc w:val="center"/>
              <w:rPr>
                <w:rFonts w:ascii="Times New Roman" w:eastAsia="Calibri" w:hAnsi="Times New Roman" w:cs="Times New Roman"/>
                <w:b/>
                <w:szCs w:val="20"/>
                <w:u w:val="single"/>
              </w:rPr>
            </w:pPr>
          </w:p>
        </w:tc>
      </w:tr>
      <w:tr w:rsidR="003D495D" w:rsidRPr="003D495D" w:rsidTr="009D346D">
        <w:trPr>
          <w:trHeight w:val="372"/>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szCs w:val="20"/>
                <w:u w:val="single"/>
              </w:rPr>
              <w:t>C. Acţiuni noi identificate pentru anii 2016-2018</w:t>
            </w:r>
          </w:p>
        </w:tc>
      </w:tr>
      <w:tr w:rsidR="003D495D" w:rsidRPr="003D495D" w:rsidTr="009D346D">
        <w:trPr>
          <w:trHeight w:val="1042"/>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Lărgirea prerogativelor Cabinetului metodic pe educaţie artistică extraşcolară şi asigurarea </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funcţionalităţii acestuia</w:t>
            </w:r>
          </w:p>
        </w:tc>
        <w:tc>
          <w:tcPr>
            <w:tcW w:w="1789" w:type="dxa"/>
            <w:tcBorders>
              <w:top w:val="single" w:sz="4" w:space="0" w:color="auto"/>
              <w:left w:val="nil"/>
              <w:right w:val="nil"/>
            </w:tcBorders>
            <w:shd w:val="clear" w:color="auto" w:fill="FFFFFF" w:themeFill="background1"/>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- 110 instituţii de învăţămînt artistic asistate metodic şi </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Cabinet metodic funcţional</w:t>
            </w:r>
          </w:p>
        </w:tc>
      </w:tr>
      <w:tr w:rsidR="003D495D" w:rsidRPr="003D495D" w:rsidTr="009D346D">
        <w:trPr>
          <w:trHeight w:val="1371"/>
        </w:trPr>
        <w:tc>
          <w:tcPr>
            <w:tcW w:w="3372" w:type="dxa"/>
            <w:vMerge/>
            <w:tcBorders>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bCs/>
                <w:szCs w:val="20"/>
              </w:rPr>
              <w:t>Revizuirea subordonării Serviciilor de asistență psihopedagogică</w:t>
            </w:r>
          </w:p>
        </w:tc>
        <w:tc>
          <w:tcPr>
            <w:tcW w:w="1789" w:type="dxa"/>
            <w:tcBorders>
              <w:top w:val="single" w:sz="4" w:space="0" w:color="auto"/>
              <w:left w:val="nil"/>
              <w:bottom w:val="single" w:sz="4" w:space="0" w:color="auto"/>
              <w:right w:val="nil"/>
            </w:tcBorders>
            <w:shd w:val="clear" w:color="auto" w:fill="FFFFFF" w:themeFill="background1"/>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Servicii de asistență psihopedagogică subordonate Centrului Republican de Asistență Psihopedagogică pentru anul 2017</w:t>
            </w:r>
          </w:p>
        </w:tc>
      </w:tr>
      <w:tr w:rsidR="003D495D" w:rsidRPr="003D495D" w:rsidTr="009D346D">
        <w:trPr>
          <w:trHeight w:val="606"/>
        </w:trPr>
        <w:tc>
          <w:tcPr>
            <w:tcW w:w="3372" w:type="dxa"/>
            <w:tcBorders>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Cs/>
                <w:szCs w:val="20"/>
              </w:rPr>
            </w:pPr>
            <w:r w:rsidRPr="003D495D">
              <w:rPr>
                <w:rFonts w:ascii="Times New Roman" w:eastAsia="Calibri" w:hAnsi="Times New Roman" w:cs="Times New Roman"/>
                <w:szCs w:val="20"/>
              </w:rPr>
              <w:t>Majorarea salariilor angajaţilor conform politicii noi salariale</w:t>
            </w:r>
          </w:p>
        </w:tc>
        <w:tc>
          <w:tcPr>
            <w:tcW w:w="1789" w:type="dxa"/>
            <w:tcBorders>
              <w:top w:val="single" w:sz="4" w:space="0" w:color="auto"/>
              <w:left w:val="nil"/>
              <w:bottom w:val="single" w:sz="4" w:space="0" w:color="auto"/>
              <w:right w:val="nil"/>
            </w:tcBorders>
            <w:shd w:val="clear" w:color="auto" w:fill="FFFFFF" w:themeFill="background1"/>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r>
      <w:tr w:rsidR="003D495D" w:rsidRPr="003D495D" w:rsidTr="009D346D">
        <w:trPr>
          <w:trHeight w:val="240"/>
        </w:trPr>
        <w:tc>
          <w:tcPr>
            <w:tcW w:w="3372" w:type="dxa"/>
            <w:tcBorders>
              <w:top w:val="single" w:sz="4" w:space="0" w:color="auto"/>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rPr>
                <w:rFonts w:ascii="Times New Roman" w:eastAsia="Calibri" w:hAnsi="Times New Roman" w:cs="Times New Roman"/>
                <w:b/>
                <w:bCs/>
                <w:i/>
                <w:iCs/>
                <w:szCs w:val="20"/>
              </w:rPr>
            </w:pPr>
            <w:r w:rsidRPr="003D495D">
              <w:rPr>
                <w:rFonts w:ascii="Times New Roman" w:eastAsia="Calibri" w:hAnsi="Times New Roman" w:cs="Times New Roman"/>
                <w:b/>
                <w:bCs/>
                <w:i/>
                <w:iCs/>
                <w:szCs w:val="20"/>
              </w:rPr>
              <w:t>Costul subprogramului</w:t>
            </w:r>
          </w:p>
        </w:tc>
        <w:tc>
          <w:tcPr>
            <w:tcW w:w="3601" w:type="dxa"/>
            <w:gridSpan w:val="2"/>
            <w:tcBorders>
              <w:top w:val="single" w:sz="4" w:space="0" w:color="auto"/>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i/>
                <w:iCs/>
                <w:szCs w:val="20"/>
              </w:rPr>
            </w:pPr>
          </w:p>
        </w:tc>
        <w:tc>
          <w:tcPr>
            <w:tcW w:w="1789" w:type="dxa"/>
            <w:tcBorders>
              <w:top w:val="single" w:sz="4" w:space="0" w:color="auto"/>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iCs/>
                <w:szCs w:val="20"/>
              </w:rPr>
            </w:pPr>
          </w:p>
        </w:tc>
        <w:tc>
          <w:tcPr>
            <w:tcW w:w="1380" w:type="dxa"/>
            <w:tcBorders>
              <w:top w:val="single" w:sz="4" w:space="0" w:color="auto"/>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iCs/>
                <w:szCs w:val="20"/>
              </w:rPr>
            </w:pPr>
          </w:p>
        </w:tc>
        <w:tc>
          <w:tcPr>
            <w:tcW w:w="1380" w:type="dxa"/>
            <w:tcBorders>
              <w:top w:val="single" w:sz="4" w:space="0" w:color="auto"/>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iCs/>
                <w:szCs w:val="20"/>
              </w:rPr>
            </w:pPr>
          </w:p>
        </w:tc>
        <w:tc>
          <w:tcPr>
            <w:tcW w:w="2889" w:type="dxa"/>
            <w:tcBorders>
              <w:top w:val="single" w:sz="4" w:space="0" w:color="auto"/>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b/>
                <w:bCs/>
                <w:i/>
                <w:iCs/>
                <w:szCs w:val="20"/>
              </w:rPr>
            </w:pPr>
          </w:p>
        </w:tc>
      </w:tr>
      <w:tr w:rsidR="003D495D" w:rsidRPr="003D495D" w:rsidTr="009D346D">
        <w:trPr>
          <w:trHeight w:val="465"/>
        </w:trPr>
        <w:tc>
          <w:tcPr>
            <w:tcW w:w="14411" w:type="dxa"/>
            <w:gridSpan w:val="7"/>
            <w:tcBorders>
              <w:top w:val="single" w:sz="4" w:space="0" w:color="auto"/>
              <w:left w:val="single" w:sz="4" w:space="0" w:color="auto"/>
              <w:bottom w:val="single" w:sz="4" w:space="0" w:color="auto"/>
              <w:right w:val="single" w:sz="4" w:space="0" w:color="000000"/>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lastRenderedPageBreak/>
              <w:t>Subprogramul 14 ”Educaţie extraşcolară și susținerea elevilor dotați”</w:t>
            </w:r>
            <w:r w:rsidRPr="003D495D">
              <w:rPr>
                <w:rFonts w:ascii="Times New Roman" w:eastAsia="Calibri" w:hAnsi="Times New Roman" w:cs="Times New Roman"/>
                <w:szCs w:val="20"/>
              </w:rPr>
              <w:t xml:space="preserve"> reprezintă reţeaua instituţiilor de învăţămînt extraşcolar şi ansamblul acţiunilor pedagogice extracurriculare şi/sau extraşcolare. </w:t>
            </w:r>
          </w:p>
        </w:tc>
      </w:tr>
      <w:tr w:rsidR="003D495D" w:rsidRPr="003D495D" w:rsidTr="009D346D">
        <w:trPr>
          <w:trHeight w:val="510"/>
        </w:trPr>
        <w:tc>
          <w:tcPr>
            <w:tcW w:w="14411" w:type="dxa"/>
            <w:gridSpan w:val="7"/>
            <w:tcBorders>
              <w:top w:val="single" w:sz="4" w:space="0" w:color="auto"/>
              <w:left w:val="single" w:sz="4" w:space="0" w:color="auto"/>
              <w:bottom w:val="single" w:sz="4" w:space="0" w:color="auto"/>
              <w:right w:val="single" w:sz="4" w:space="0" w:color="000000"/>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Scopul subprogramului: </w:t>
            </w:r>
            <w:r w:rsidRPr="003D495D">
              <w:rPr>
                <w:rFonts w:ascii="Times New Roman" w:eastAsia="Calibri" w:hAnsi="Times New Roman" w:cs="Times New Roman"/>
                <w:szCs w:val="20"/>
              </w:rPr>
              <w:t>Diversificarea activităţilor complementare procesului educaţional din toate tipurile de instituţii de învăţămînt, menite să asigure realizarea dreptului copiilor la dezvoltarea aptitudinilor şi capacităţilor mintale şi fizice la nivelul potenţialului maxim, precum şi a dreptului la activităţi recreative potrivit vîrstei (conform art. 29 şi 31 ale Convenţiei privind Drepturile Copilului).</w:t>
            </w:r>
          </w:p>
        </w:tc>
      </w:tr>
      <w:tr w:rsidR="003D495D" w:rsidRPr="003D495D" w:rsidTr="009D346D">
        <w:trPr>
          <w:trHeight w:val="315"/>
        </w:trPr>
        <w:tc>
          <w:tcPr>
            <w:tcW w:w="3372" w:type="dxa"/>
            <w:tcBorders>
              <w:top w:val="nil"/>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Probleme cheie</w:t>
            </w:r>
          </w:p>
        </w:tc>
        <w:tc>
          <w:tcPr>
            <w:tcW w:w="11039" w:type="dxa"/>
            <w:gridSpan w:val="6"/>
            <w:tcBorders>
              <w:top w:val="nil"/>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Acţiuni curente</w:t>
            </w:r>
          </w:p>
        </w:tc>
      </w:tr>
      <w:tr w:rsidR="003D495D" w:rsidRPr="003D495D" w:rsidTr="009D346D">
        <w:trPr>
          <w:trHeight w:val="989"/>
        </w:trPr>
        <w:tc>
          <w:tcPr>
            <w:tcW w:w="3372" w:type="dxa"/>
            <w:vMerge w:val="restart"/>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Accesul limitat (26,1% din contingentul de elevi) la educaţie extraşcolară, condiţionat de varietatea redusă a profilurilor de activitate a instituţiilor extraşcolare actuale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Aplicarea metodelor specifice educaţiei formale în educaţia extracurriculară face neatractive activităţile respective pentru copii</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Lipsa în instituţiile de învăţămînt a unei baze materiale adecvate </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tehnică de calcul, utilaje, instrumente, inventar sportiv) pentru organizarea activităţilor extracurriculare ce nu răspunde domeniilor de interese ale copiilor</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Starea deplorabilă a Şcolii Republicane Specializate de Hipism şi Pentatlon Modern</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Organizarea odihnei de vară pentru un număr redus de elevi raportat la numărul solicitanţilor</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Insuficienţa condiţiilor de organizare a olimpiadelor la disciplinele şcolare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lastRenderedPageBreak/>
              <w:t>B. Obiective de politici pe termen mediu</w:t>
            </w:r>
          </w:p>
          <w:p w:rsidR="003D495D" w:rsidRPr="003D495D" w:rsidRDefault="003D495D" w:rsidP="003D495D">
            <w:pPr>
              <w:spacing w:after="0" w:line="240" w:lineRule="auto"/>
              <w:rPr>
                <w:rFonts w:ascii="Times New Roman" w:eastAsia="Calibri" w:hAnsi="Times New Roman" w:cs="Times New Roman"/>
                <w:b/>
                <w:bCs/>
                <w:szCs w:val="20"/>
                <w:u w:val="single"/>
              </w:rPr>
            </w:pPr>
          </w:p>
          <w:p w:rsidR="003D495D" w:rsidRPr="003D495D" w:rsidRDefault="003D495D" w:rsidP="003D495D">
            <w:pPr>
              <w:tabs>
                <w:tab w:val="left" w:pos="162"/>
              </w:tabs>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Asigurarea accesului la educaţia extraşcolară, a cel puţin 35 la sută din efectivul general de elevi </w:t>
            </w:r>
          </w:p>
          <w:p w:rsidR="003D495D" w:rsidRPr="003D495D" w:rsidRDefault="003D495D" w:rsidP="003D495D">
            <w:pPr>
              <w:tabs>
                <w:tab w:val="left" w:pos="162"/>
              </w:tabs>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Organizarea odihnei şi întremării sănătăţii copiilor şi adolescenţilor în sezonul estival</w:t>
            </w:r>
          </w:p>
          <w:p w:rsidR="003D495D" w:rsidRPr="003D495D" w:rsidRDefault="003D495D" w:rsidP="003D495D">
            <w:pPr>
              <w:spacing w:after="0" w:line="240" w:lineRule="auto"/>
              <w:rPr>
                <w:rFonts w:ascii="Times New Roman" w:eastAsia="Calibri" w:hAnsi="Times New Roman" w:cs="Times New Roman"/>
                <w:b/>
                <w:bCs/>
                <w:szCs w:val="20"/>
                <w:u w:val="single"/>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Îmbunătăţirea continuă a condiţiilor de desfăşurare a activităţilor extraşcolare, crearea condiţiilor de îngrijire a animalelor, promovarea sportului de performanţă (hipism)</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Îmbunătăţirea condiţiilor de organizare a olimpiadelor la disciplinele şcolare</w:t>
            </w:r>
          </w:p>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right w:val="single" w:sz="4" w:space="0" w:color="auto"/>
            </w:tcBorders>
          </w:tcPr>
          <w:p w:rsidR="003D495D" w:rsidRPr="003D495D" w:rsidRDefault="003D495D" w:rsidP="003D495D">
            <w:pPr>
              <w:tabs>
                <w:tab w:val="left" w:pos="272"/>
              </w:tabs>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Susţinerea activităţii instituţiilor extraşcolare, în special în mediul rural, inclusiv prin racordarea profilurilor de activitate a acestora la domeniile de interese ale elevilor</w:t>
            </w:r>
          </w:p>
        </w:tc>
        <w:tc>
          <w:tcPr>
            <w:tcW w:w="1789"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- 35 la suta de copii antrenaţi în activităţile extraşcolare, inclusiv în mediul rural în anii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-2018</w:t>
            </w:r>
          </w:p>
        </w:tc>
      </w:tr>
      <w:tr w:rsidR="003D495D" w:rsidRPr="003D495D" w:rsidTr="009D346D">
        <w:trPr>
          <w:trHeight w:val="49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Reparaţii capitală a Şcolii Republicane Specializate de Hipism şi Pentatlon Modern</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ŞRSHPM reparată capital </w:t>
            </w:r>
          </w:p>
        </w:tc>
      </w:tr>
      <w:tr w:rsidR="003D495D" w:rsidRPr="003D495D" w:rsidTr="009D346D">
        <w:trPr>
          <w:trHeight w:val="48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Organizarea odihnei de vara pentru copii si adolescenţi</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lang w:val="en-US"/>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- 56,0 mii copii asiguraţi cu foi</w:t>
            </w:r>
          </w:p>
          <w:p w:rsidR="003D495D" w:rsidRPr="003D495D" w:rsidRDefault="003D495D" w:rsidP="003D495D">
            <w:pPr>
              <w:spacing w:after="0" w:line="240" w:lineRule="auto"/>
              <w:rPr>
                <w:rFonts w:ascii="Times New Roman" w:eastAsia="Calibri" w:hAnsi="Times New Roman" w:cs="Times New Roman"/>
                <w:szCs w:val="20"/>
              </w:rPr>
            </w:pPr>
          </w:p>
        </w:tc>
      </w:tr>
      <w:tr w:rsidR="003D495D" w:rsidRPr="003D495D" w:rsidTr="009D346D">
        <w:trPr>
          <w:trHeight w:val="48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Organizarea odihnei de vară pentru copii din Transnistria (100 locuri) și pentru copii din România (100 locuri) în temeiul Protocolului bilateral de cooperare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- 200 de copii asigurați cu foi</w:t>
            </w:r>
          </w:p>
        </w:tc>
      </w:tr>
      <w:tr w:rsidR="003D495D" w:rsidRPr="003D495D" w:rsidTr="009D346D">
        <w:trPr>
          <w:trHeight w:val="48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Organizarea olimpiadelor şcolare la disciplinele de studii</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- 100% de olimpiade organizate în raport cu cele programate</w:t>
            </w:r>
          </w:p>
        </w:tc>
      </w:tr>
      <w:tr w:rsidR="003D495D" w:rsidRPr="003D495D" w:rsidTr="009D346D">
        <w:trPr>
          <w:trHeight w:val="177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Organizarea taberelor de pregătire a loturilor olimpice naționale pentru participarea echipelor la olimpiadele şcolare internaționale</w:t>
            </w:r>
          </w:p>
        </w:tc>
        <w:tc>
          <w:tcPr>
            <w:tcW w:w="1789"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- 6 tabere de pregătire a loturilor olimpice organizate</w:t>
            </w:r>
          </w:p>
          <w:p w:rsidR="003D495D" w:rsidRPr="003D495D" w:rsidRDefault="003D495D" w:rsidP="003D495D">
            <w:pPr>
              <w:spacing w:after="0" w:line="240" w:lineRule="auto"/>
              <w:rPr>
                <w:rFonts w:ascii="Times New Roman" w:eastAsia="Calibri" w:hAnsi="Times New Roman" w:cs="Times New Roman"/>
                <w:szCs w:val="20"/>
                <w:lang w:val="fr-FR"/>
              </w:rPr>
            </w:pPr>
            <w:r w:rsidRPr="003D495D">
              <w:rPr>
                <w:rFonts w:ascii="Times New Roman" w:eastAsia="Calibri" w:hAnsi="Times New Roman" w:cs="Times New Roman"/>
                <w:szCs w:val="20"/>
              </w:rPr>
              <w:t>- 100% de participare a Loturilor Olimpice la Olimpiadele Zonale și Internaționale în raport cu cele programate</w:t>
            </w:r>
          </w:p>
        </w:tc>
      </w:tr>
      <w:tr w:rsidR="003D495D" w:rsidRPr="003D495D" w:rsidTr="009D346D">
        <w:trPr>
          <w:trHeight w:val="48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Organizarea anuală a concursului republican „Pedagogul anului”</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- 500 de cadre didactice, participanţi la concurs </w:t>
            </w:r>
          </w:p>
        </w:tc>
      </w:tr>
      <w:tr w:rsidR="003D495D" w:rsidRPr="003D495D" w:rsidTr="009D346D">
        <w:trPr>
          <w:trHeight w:val="62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u w:val="single"/>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B. Acţiuni ce duc la o utilizare mai eficace şi eficientă a resurselor</w:t>
            </w:r>
          </w:p>
        </w:tc>
      </w:tr>
      <w:tr w:rsidR="003D495D" w:rsidRPr="003D495D" w:rsidTr="009D346D">
        <w:trPr>
          <w:trHeight w:val="616"/>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C. Acţiuni noi identificate pentru anii 2016-2018</w:t>
            </w:r>
          </w:p>
        </w:tc>
      </w:tr>
      <w:tr w:rsidR="003D495D" w:rsidRPr="003D495D" w:rsidTr="009D346D">
        <w:trPr>
          <w:trHeight w:val="741"/>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tabs>
                <w:tab w:val="left" w:pos="182"/>
              </w:tabs>
              <w:spacing w:after="0" w:line="240" w:lineRule="auto"/>
              <w:ind w:left="2"/>
              <w:rPr>
                <w:rFonts w:ascii="Times New Roman" w:eastAsia="Calibri" w:hAnsi="Times New Roman" w:cs="Times New Roman"/>
                <w:szCs w:val="20"/>
              </w:rPr>
            </w:pPr>
            <w:r w:rsidRPr="003D495D">
              <w:rPr>
                <w:rFonts w:ascii="Times New Roman" w:eastAsia="Calibri" w:hAnsi="Times New Roman" w:cs="Times New Roman"/>
                <w:szCs w:val="20"/>
              </w:rPr>
              <w:t xml:space="preserve">Majorarea cheltuielilor de personal, conform politicii salariale </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Proiect de lege, Hotărîre de Guvern prezentate Guvernului în anul </w:t>
            </w:r>
            <w:r w:rsidRPr="003D495D">
              <w:rPr>
                <w:rFonts w:ascii="Times New Roman" w:eastAsia="Calibri" w:hAnsi="Times New Roman" w:cs="Times New Roman"/>
                <w:color w:val="FF0000"/>
                <w:szCs w:val="20"/>
              </w:rPr>
              <w:t>2016</w:t>
            </w:r>
          </w:p>
        </w:tc>
      </w:tr>
      <w:tr w:rsidR="003D495D" w:rsidRPr="003D495D" w:rsidTr="009D346D">
        <w:trPr>
          <w:trHeight w:val="1104"/>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tabs>
                <w:tab w:val="left" w:pos="182"/>
              </w:tabs>
              <w:spacing w:after="0" w:line="240" w:lineRule="auto"/>
              <w:ind w:left="2"/>
              <w:rPr>
                <w:rFonts w:ascii="Times New Roman" w:eastAsia="Calibri" w:hAnsi="Times New Roman" w:cs="Times New Roman"/>
                <w:szCs w:val="20"/>
              </w:rPr>
            </w:pPr>
            <w:r w:rsidRPr="003D495D">
              <w:rPr>
                <w:rFonts w:ascii="Times New Roman" w:eastAsia="Calibri" w:hAnsi="Times New Roman" w:cs="Times New Roman"/>
                <w:szCs w:val="20"/>
              </w:rPr>
              <w:t xml:space="preserve">Organizarea Olimpiadei Balcanice de Matematică în Republica Moldova în anul </w:t>
            </w:r>
            <w:r w:rsidRPr="003D495D">
              <w:rPr>
                <w:rFonts w:ascii="Times New Roman" w:eastAsia="Calibri" w:hAnsi="Times New Roman" w:cs="Times New Roman"/>
                <w:color w:val="FF0000"/>
                <w:szCs w:val="20"/>
              </w:rPr>
              <w:t>2016</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Olimpiada Balcanică de Matematică organizată în Republica Moldova în anul </w:t>
            </w:r>
            <w:r w:rsidRPr="003D495D">
              <w:rPr>
                <w:rFonts w:ascii="Times New Roman" w:eastAsia="Calibri" w:hAnsi="Times New Roman" w:cs="Times New Roman"/>
                <w:color w:val="FF0000"/>
                <w:szCs w:val="20"/>
              </w:rPr>
              <w:t>2016</w:t>
            </w:r>
          </w:p>
        </w:tc>
      </w:tr>
      <w:tr w:rsidR="003D495D" w:rsidRPr="003D495D" w:rsidTr="009D346D">
        <w:trPr>
          <w:trHeight w:val="1104"/>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tabs>
                <w:tab w:val="left" w:pos="182"/>
              </w:tabs>
              <w:spacing w:after="0" w:line="240" w:lineRule="auto"/>
              <w:ind w:left="2"/>
              <w:rPr>
                <w:rFonts w:ascii="Times New Roman" w:eastAsia="Calibri" w:hAnsi="Times New Roman" w:cs="Times New Roman"/>
                <w:szCs w:val="20"/>
              </w:rPr>
            </w:pPr>
            <w:r w:rsidRPr="003D495D">
              <w:rPr>
                <w:rFonts w:ascii="Times New Roman" w:eastAsia="Calibri" w:hAnsi="Times New Roman" w:cs="Times New Roman"/>
                <w:szCs w:val="20"/>
              </w:rPr>
              <w:t>Organizarea Olimpiadei Balcanice de Informatică în Republica Moldova în anul 2017</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Olimpiada Balcanică de Informatică organizată în Republica Moldova în anul 2017</w:t>
            </w:r>
          </w:p>
        </w:tc>
      </w:tr>
      <w:tr w:rsidR="003D495D" w:rsidRPr="003D495D" w:rsidTr="009D346D">
        <w:trPr>
          <w:trHeight w:val="1131"/>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Dotarea pînă în </w:t>
            </w:r>
            <w:r w:rsidRPr="003D495D">
              <w:rPr>
                <w:rFonts w:ascii="Times New Roman" w:eastAsia="Calibri" w:hAnsi="Times New Roman" w:cs="Times New Roman"/>
                <w:color w:val="FF0000"/>
                <w:szCs w:val="20"/>
              </w:rPr>
              <w:t xml:space="preserve">2016 </w:t>
            </w:r>
            <w:r w:rsidRPr="003D495D">
              <w:rPr>
                <w:rFonts w:ascii="Times New Roman" w:eastAsia="Calibri" w:hAnsi="Times New Roman" w:cs="Times New Roman"/>
                <w:szCs w:val="20"/>
              </w:rPr>
              <w:t>a cel puţin 50 de instituţii de învăţămînt extraşcolar cu echipament pentru organizarea activităţilor extracurriculare inclusiv de educaţie fizică şi sport</w:t>
            </w:r>
          </w:p>
        </w:tc>
        <w:tc>
          <w:tcPr>
            <w:tcW w:w="1789" w:type="dxa"/>
            <w:tcBorders>
              <w:top w:val="single" w:sz="4" w:space="0" w:color="auto"/>
              <w:left w:val="nil"/>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- 50 de instituţii de învăţămînt dotate cu echipament pentru activităţi extracurriculare, inclusiv de educaţie fizică şi sport</w:t>
            </w:r>
          </w:p>
        </w:tc>
      </w:tr>
      <w:tr w:rsidR="003D495D" w:rsidRPr="003D495D" w:rsidTr="009D346D">
        <w:trPr>
          <w:trHeight w:val="57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Organizarea concursului First Lego League</w:t>
            </w:r>
          </w:p>
        </w:tc>
        <w:tc>
          <w:tcPr>
            <w:tcW w:w="1789" w:type="dxa"/>
            <w:tcBorders>
              <w:top w:val="single" w:sz="4" w:space="0" w:color="auto"/>
              <w:left w:val="nil"/>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right w:val="single" w:sz="4" w:space="0" w:color="auto"/>
            </w:tcBorders>
          </w:tcPr>
          <w:p w:rsidR="003D495D" w:rsidRPr="003D495D" w:rsidRDefault="003D495D" w:rsidP="003D495D">
            <w:pPr>
              <w:numPr>
                <w:ilvl w:val="0"/>
                <w:numId w:val="15"/>
              </w:numPr>
              <w:spacing w:after="0" w:line="240" w:lineRule="auto"/>
              <w:ind w:left="230" w:hanging="230"/>
              <w:rPr>
                <w:rFonts w:ascii="Times New Roman" w:eastAsia="Calibri" w:hAnsi="Times New Roman" w:cs="Times New Roman"/>
                <w:szCs w:val="20"/>
              </w:rPr>
            </w:pPr>
            <w:r w:rsidRPr="003D495D">
              <w:rPr>
                <w:rFonts w:ascii="Times New Roman" w:eastAsia="Calibri" w:hAnsi="Times New Roman" w:cs="Times New Roman"/>
                <w:szCs w:val="20"/>
              </w:rPr>
              <w:t xml:space="preserve"> Numărul de participanți</w:t>
            </w:r>
          </w:p>
        </w:tc>
      </w:tr>
      <w:tr w:rsidR="003D495D" w:rsidRPr="003D495D" w:rsidTr="009D346D">
        <w:trPr>
          <w:trHeight w:val="240"/>
        </w:trPr>
        <w:tc>
          <w:tcPr>
            <w:tcW w:w="3372" w:type="dxa"/>
            <w:tcBorders>
              <w:top w:val="single" w:sz="4" w:space="0" w:color="auto"/>
              <w:left w:val="single" w:sz="4" w:space="0" w:color="auto"/>
              <w:bottom w:val="single" w:sz="4" w:space="0" w:color="auto"/>
              <w:right w:val="single" w:sz="4" w:space="0" w:color="auto"/>
            </w:tcBorders>
            <w:shd w:val="clear" w:color="000000" w:fill="FFCC99"/>
          </w:tcPr>
          <w:p w:rsidR="003D495D" w:rsidRPr="003D495D" w:rsidRDefault="003D495D" w:rsidP="003D495D">
            <w:pPr>
              <w:spacing w:after="0" w:line="240" w:lineRule="auto"/>
              <w:rPr>
                <w:rFonts w:ascii="Times New Roman" w:eastAsia="Calibri" w:hAnsi="Times New Roman" w:cs="Times New Roman"/>
                <w:b/>
                <w:bCs/>
                <w:i/>
                <w:iCs/>
                <w:szCs w:val="20"/>
              </w:rPr>
            </w:pPr>
            <w:r w:rsidRPr="003D495D">
              <w:rPr>
                <w:rFonts w:ascii="Times New Roman" w:eastAsia="Calibri" w:hAnsi="Times New Roman" w:cs="Times New Roman"/>
                <w:b/>
                <w:bCs/>
                <w:i/>
                <w:iCs/>
                <w:szCs w:val="20"/>
              </w:rPr>
              <w:t>Costul subprogramului</w:t>
            </w:r>
          </w:p>
        </w:tc>
        <w:tc>
          <w:tcPr>
            <w:tcW w:w="3601" w:type="dxa"/>
            <w:gridSpan w:val="2"/>
            <w:tcBorders>
              <w:top w:val="single" w:sz="4" w:space="0" w:color="auto"/>
              <w:left w:val="nil"/>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789"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2889" w:type="dxa"/>
            <w:tcBorders>
              <w:top w:val="single" w:sz="4" w:space="0" w:color="auto"/>
              <w:left w:val="nil"/>
              <w:bottom w:val="single" w:sz="4" w:space="0" w:color="auto"/>
              <w:right w:val="single" w:sz="4" w:space="0" w:color="auto"/>
            </w:tcBorders>
            <w:shd w:val="clear" w:color="000000" w:fill="FFCC99"/>
          </w:tcPr>
          <w:p w:rsidR="003D495D" w:rsidRPr="003D495D" w:rsidRDefault="003D495D" w:rsidP="003D495D">
            <w:pPr>
              <w:spacing w:after="0" w:line="240" w:lineRule="auto"/>
              <w:jc w:val="center"/>
              <w:rPr>
                <w:rFonts w:ascii="Times New Roman" w:eastAsia="Calibri" w:hAnsi="Times New Roman" w:cs="Times New Roman"/>
                <w:szCs w:val="20"/>
              </w:rPr>
            </w:pPr>
          </w:p>
        </w:tc>
      </w:tr>
      <w:tr w:rsidR="003D495D" w:rsidRPr="003D495D" w:rsidTr="009D346D">
        <w:trPr>
          <w:trHeight w:val="480"/>
        </w:trPr>
        <w:tc>
          <w:tcPr>
            <w:tcW w:w="14411" w:type="dxa"/>
            <w:gridSpan w:val="7"/>
            <w:tcBorders>
              <w:top w:val="single" w:sz="4" w:space="0" w:color="auto"/>
              <w:left w:val="single" w:sz="4" w:space="0" w:color="auto"/>
              <w:bottom w:val="single" w:sz="4" w:space="0" w:color="auto"/>
              <w:right w:val="single" w:sz="4" w:space="0" w:color="000000"/>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Subprogramul 15„Curriculum ” </w:t>
            </w:r>
            <w:r w:rsidRPr="003D495D">
              <w:rPr>
                <w:rFonts w:ascii="Times New Roman" w:eastAsia="Calibri" w:hAnsi="Times New Roman" w:cs="Times New Roman"/>
                <w:szCs w:val="20"/>
              </w:rPr>
              <w:t xml:space="preserve">include Planul-cadru pentru învăţămîntul primar, gimnazial, liceal, de asemenea, extraşcolar, curricula disciplinelor obligatorii şi opţionale, manuale şcolare şi ghiduri metodologice, strategii de predare-învăţare-evaluare, programe de pregatire pentru examenele de absolvire a treptelor de invatamint. </w:t>
            </w:r>
          </w:p>
        </w:tc>
      </w:tr>
      <w:tr w:rsidR="003D495D" w:rsidRPr="003D495D" w:rsidTr="009D346D">
        <w:trPr>
          <w:trHeight w:val="315"/>
        </w:trPr>
        <w:tc>
          <w:tcPr>
            <w:tcW w:w="14411" w:type="dxa"/>
            <w:gridSpan w:val="7"/>
            <w:tcBorders>
              <w:top w:val="single" w:sz="4" w:space="0" w:color="auto"/>
              <w:left w:val="single" w:sz="4" w:space="0" w:color="auto"/>
              <w:bottom w:val="single" w:sz="4" w:space="0" w:color="auto"/>
              <w:right w:val="single" w:sz="4" w:space="0" w:color="000000"/>
            </w:tcBorders>
          </w:tcPr>
          <w:p w:rsidR="003D495D" w:rsidRPr="003D495D" w:rsidRDefault="003D495D" w:rsidP="003D495D">
            <w:pPr>
              <w:spacing w:after="0" w:line="240" w:lineRule="auto"/>
              <w:rPr>
                <w:rFonts w:ascii="Times New Roman" w:eastAsia="Calibri" w:hAnsi="Times New Roman" w:cs="Times New Roman"/>
                <w:b/>
                <w:bCs/>
                <w:szCs w:val="20"/>
              </w:rPr>
            </w:pPr>
            <w:r w:rsidRPr="003D495D">
              <w:rPr>
                <w:rFonts w:ascii="Times New Roman" w:eastAsia="Calibri" w:hAnsi="Times New Roman" w:cs="Times New Roman"/>
                <w:b/>
                <w:bCs/>
                <w:szCs w:val="20"/>
              </w:rPr>
              <w:t xml:space="preserve">Scopul subprogramului: </w:t>
            </w:r>
            <w:r w:rsidRPr="003D495D">
              <w:rPr>
                <w:rFonts w:ascii="Times New Roman" w:eastAsia="Calibri" w:hAnsi="Times New Roman" w:cs="Times New Roman"/>
                <w:szCs w:val="20"/>
              </w:rPr>
              <w:t>Dezvoltarea Curriculumului naţional, în conformitate cu standardele internaţionale existente, asigurarea elevilor şi cadrelor didactice cu suporturi didactice.</w:t>
            </w:r>
          </w:p>
        </w:tc>
      </w:tr>
      <w:tr w:rsidR="003D495D" w:rsidRPr="003D495D" w:rsidTr="009D346D">
        <w:trPr>
          <w:trHeight w:val="285"/>
        </w:trPr>
        <w:tc>
          <w:tcPr>
            <w:tcW w:w="3372" w:type="dxa"/>
            <w:tcBorders>
              <w:top w:val="nil"/>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Probleme cheie</w:t>
            </w:r>
          </w:p>
        </w:tc>
        <w:tc>
          <w:tcPr>
            <w:tcW w:w="11039" w:type="dxa"/>
            <w:gridSpan w:val="6"/>
            <w:tcBorders>
              <w:top w:val="nil"/>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Acţiuni curente</w:t>
            </w:r>
          </w:p>
        </w:tc>
      </w:tr>
      <w:tr w:rsidR="003D495D" w:rsidRPr="003D495D" w:rsidTr="009D346D">
        <w:trPr>
          <w:trHeight w:val="1651"/>
        </w:trPr>
        <w:tc>
          <w:tcPr>
            <w:tcW w:w="3372" w:type="dxa"/>
            <w:vMerge w:val="restart"/>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Curriculum naţional supraîncărcat şi grad scăzut de relevanţă</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Costurile înalte şi inaccesibile ale manualelor de limbă maternă pentru elevii din şcolile alolingve, </w:t>
            </w:r>
            <w:r w:rsidRPr="003D495D">
              <w:rPr>
                <w:rFonts w:ascii="Times New Roman" w:eastAsia="Calibri" w:hAnsi="Times New Roman" w:cs="Times New Roman"/>
                <w:szCs w:val="20"/>
              </w:rPr>
              <w:lastRenderedPageBreak/>
              <w:t>precum şi ale setului de manuale pentru copiii din instituţiile de tip rezidenţial, inclusiv pentru cei cu cerinţe educaţionale speciale şi din familiile socialmente vulnerabile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Necesitatea unui curriculum modernizat pentru domeniul arte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B. Obiective de politici pe termen mediu</w:t>
            </w:r>
          </w:p>
          <w:p w:rsidR="003D495D" w:rsidRPr="003D495D" w:rsidRDefault="003D495D" w:rsidP="003D495D">
            <w:pPr>
              <w:spacing w:after="0" w:line="240" w:lineRule="auto"/>
              <w:rPr>
                <w:rFonts w:ascii="Times New Roman" w:eastAsia="Calibri" w:hAnsi="Times New Roman" w:cs="Times New Roman"/>
                <w:b/>
                <w:bCs/>
                <w:szCs w:val="20"/>
                <w:u w:val="single"/>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Asigurarea cu suporturi didactice a elevilor şi cadrelor didactice, în baza curricula dezvoltate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Asigurarea cu manuale a elevilor din instituţiile rezidenţiale, din familiile socialmente vulnerabile şi alte categorii eligibile, prin alocarea anuală a mijloacelor bugetare în vederea compensării costului manualelor</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Dezvoltarea curriculumului naţional în vederea descongestionării conţinuturilor disciplinare, diversificarea ofertei opţionale pentru elevi</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Asigurarea evaluării elevilor la finalitatea de treaptă</w:t>
            </w: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Dezvoltarea curriculumului naţional şi a curricula disciplinare, implementarea curricula dezvoltate şi descongestionate</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color w:val="FF0000"/>
                <w:szCs w:val="20"/>
              </w:rPr>
            </w:pPr>
            <w:r w:rsidRPr="003D495D">
              <w:rPr>
                <w:rFonts w:ascii="Times New Roman" w:eastAsia="Calibri" w:hAnsi="Times New Roman" w:cs="Times New Roman"/>
                <w:szCs w:val="20"/>
              </w:rPr>
              <w:t xml:space="preserve">- Curricula disciplinare dezvoltate şi descongestionate </w:t>
            </w:r>
            <w:r w:rsidRPr="003D495D">
              <w:rPr>
                <w:rFonts w:ascii="Times New Roman" w:eastAsia="Calibri" w:hAnsi="Times New Roman" w:cs="Times New Roman"/>
                <w:color w:val="FF0000"/>
                <w:szCs w:val="20"/>
              </w:rPr>
              <w:t>în 2016</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Curricula disciplinare descongestionate implementate în 2017, 2018</w:t>
            </w:r>
          </w:p>
        </w:tc>
      </w:tr>
      <w:tr w:rsidR="003D495D" w:rsidRPr="003D495D" w:rsidTr="009D346D">
        <w:trPr>
          <w:trHeight w:val="192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Asigurarea cu manuale şi suport didactic, şi compensarea costurilor în vederea asigurării manualelor pentru elevii din instituţiile rezidenţiale şi din familii socialmente vulnerabile, precum şi a manualelor pentru studierea limbilor minorităţilor naţionale</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- 100% elevi asiguraţi cu seturi de manuale, inclusiv prin compensarea costurilor pentru anumite categorii de elevi</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- 100% cadre didactice asigurate cu suporturi didactice </w:t>
            </w:r>
          </w:p>
        </w:tc>
      </w:tr>
      <w:tr w:rsidR="003D495D" w:rsidRPr="003D495D" w:rsidTr="009D346D">
        <w:trPr>
          <w:trHeight w:val="1518"/>
        </w:trPr>
        <w:tc>
          <w:tcPr>
            <w:tcW w:w="3372" w:type="dxa"/>
            <w:vMerge/>
            <w:tcBorders>
              <w:left w:val="single" w:sz="4" w:space="0" w:color="auto"/>
              <w:bottom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Elaborarea unui curriculum modernizat pentru toate disciplinele </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Inițierea procesului de modernizare curriculară la disciplinele școlare</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- 50 la sută curricula modernizate, în </w:t>
            </w:r>
            <w:r w:rsidRPr="003D495D">
              <w:rPr>
                <w:rFonts w:ascii="Times New Roman" w:eastAsia="Calibri" w:hAnsi="Times New Roman" w:cs="Times New Roman"/>
                <w:color w:val="FF0000"/>
                <w:szCs w:val="20"/>
              </w:rPr>
              <w:t>2016</w:t>
            </w:r>
            <w:r w:rsidRPr="003D495D">
              <w:rPr>
                <w:rFonts w:ascii="Times New Roman" w:eastAsia="Calibri" w:hAnsi="Times New Roman" w:cs="Times New Roman"/>
                <w:szCs w:val="20"/>
              </w:rPr>
              <w:t>, 2017; 100% în 2018</w:t>
            </w:r>
          </w:p>
        </w:tc>
      </w:tr>
      <w:tr w:rsidR="003D495D" w:rsidRPr="003D495D" w:rsidTr="009D346D">
        <w:trPr>
          <w:trHeight w:val="495"/>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Desfăşurarea evaluării şi analiza rezultatelor elevilor la finalitatea de nivel</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- 100% de elevi evaluaţi la finalitate de nivel</w:t>
            </w:r>
          </w:p>
        </w:tc>
      </w:tr>
      <w:tr w:rsidR="003D495D" w:rsidRPr="003D495D" w:rsidTr="009D346D">
        <w:trPr>
          <w:trHeight w:val="93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B. Acţiuni ce duc la o utilizare mai eficace şi eficientă a resurselor</w:t>
            </w:r>
          </w:p>
        </w:tc>
      </w:tr>
      <w:tr w:rsidR="003D495D" w:rsidRPr="003D495D" w:rsidTr="009D346D">
        <w:trPr>
          <w:trHeight w:val="147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nil"/>
              <w:right w:val="single" w:sz="4" w:space="0" w:color="auto"/>
            </w:tcBorders>
          </w:tcPr>
          <w:p w:rsidR="003D495D" w:rsidRPr="003D495D" w:rsidRDefault="003D495D" w:rsidP="003D495D">
            <w:pPr>
              <w:spacing w:after="0" w:line="240" w:lineRule="auto"/>
              <w:ind w:left="360"/>
              <w:jc w:val="center"/>
              <w:rPr>
                <w:rFonts w:ascii="Times New Roman" w:eastAsia="Calibri" w:hAnsi="Times New Roman" w:cs="Times New Roman"/>
                <w:szCs w:val="20"/>
              </w:rPr>
            </w:pPr>
            <w:r w:rsidRPr="003D495D">
              <w:rPr>
                <w:rFonts w:ascii="Times New Roman" w:eastAsia="Calibri" w:hAnsi="Times New Roman" w:cs="Times New Roman"/>
                <w:b/>
                <w:bCs/>
                <w:szCs w:val="20"/>
                <w:u w:val="single"/>
              </w:rPr>
              <w:t>C. Acţiuni noi identificate pentru anii 2016-2018</w:t>
            </w:r>
          </w:p>
        </w:tc>
      </w:tr>
      <w:tr w:rsidR="003D495D" w:rsidRPr="003D495D" w:rsidTr="009D346D">
        <w:trPr>
          <w:trHeight w:val="240"/>
        </w:trPr>
        <w:tc>
          <w:tcPr>
            <w:tcW w:w="3372" w:type="dxa"/>
            <w:tcBorders>
              <w:top w:val="single" w:sz="4" w:space="0" w:color="auto"/>
              <w:left w:val="single" w:sz="4" w:space="0" w:color="auto"/>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i/>
                <w:iCs/>
                <w:szCs w:val="20"/>
              </w:rPr>
            </w:pPr>
            <w:r w:rsidRPr="003D495D">
              <w:rPr>
                <w:rFonts w:ascii="Times New Roman" w:eastAsia="Calibri" w:hAnsi="Times New Roman" w:cs="Times New Roman"/>
                <w:b/>
                <w:bCs/>
                <w:i/>
                <w:iCs/>
                <w:szCs w:val="20"/>
              </w:rPr>
              <w:t>Costul subprogramului</w:t>
            </w:r>
          </w:p>
        </w:tc>
        <w:tc>
          <w:tcPr>
            <w:tcW w:w="3601" w:type="dxa"/>
            <w:gridSpan w:val="2"/>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789"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2889" w:type="dxa"/>
            <w:tcBorders>
              <w:top w:val="single" w:sz="4" w:space="0" w:color="auto"/>
              <w:left w:val="nil"/>
              <w:bottom w:val="single" w:sz="4" w:space="0" w:color="auto"/>
              <w:right w:val="single" w:sz="4" w:space="0" w:color="auto"/>
            </w:tcBorders>
            <w:shd w:val="clear" w:color="000000" w:fill="FFCC99"/>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r>
      <w:tr w:rsidR="003D495D" w:rsidRPr="003D495D" w:rsidTr="009D346D">
        <w:trPr>
          <w:trHeight w:val="285"/>
        </w:trPr>
        <w:tc>
          <w:tcPr>
            <w:tcW w:w="14411" w:type="dxa"/>
            <w:gridSpan w:val="7"/>
            <w:tcBorders>
              <w:top w:val="single" w:sz="4" w:space="0" w:color="auto"/>
              <w:left w:val="single" w:sz="4" w:space="0" w:color="auto"/>
              <w:bottom w:val="single" w:sz="4" w:space="0" w:color="auto"/>
              <w:right w:val="single" w:sz="4" w:space="0" w:color="000000"/>
            </w:tcBorders>
          </w:tcPr>
          <w:p w:rsidR="003D495D" w:rsidRPr="003D495D" w:rsidRDefault="003D495D" w:rsidP="003D495D">
            <w:pPr>
              <w:spacing w:after="0" w:line="240" w:lineRule="auto"/>
              <w:rPr>
                <w:rFonts w:ascii="Times New Roman" w:eastAsia="Calibri" w:hAnsi="Times New Roman" w:cs="Times New Roman"/>
                <w:b/>
                <w:bCs/>
                <w:i/>
                <w:iCs/>
                <w:szCs w:val="20"/>
              </w:rPr>
            </w:pPr>
            <w:r w:rsidRPr="003D495D">
              <w:rPr>
                <w:rFonts w:ascii="Times New Roman" w:eastAsia="Calibri" w:hAnsi="Times New Roman" w:cs="Times New Roman"/>
                <w:b/>
                <w:bCs/>
                <w:iCs/>
                <w:szCs w:val="20"/>
              </w:rPr>
              <w:t xml:space="preserve">Subprogramul 16 „Asigurarea calităţii în învăţămînt” </w:t>
            </w:r>
            <w:r w:rsidRPr="003D495D">
              <w:rPr>
                <w:rFonts w:ascii="Times New Roman" w:eastAsia="Calibri" w:hAnsi="Times New Roman" w:cs="Times New Roman"/>
                <w:szCs w:val="20"/>
              </w:rPr>
              <w:t>include acţiuni de creare a instituţiilor, mecanismelor şi procedurilor de asigurare a calităţii în sistemul de învăţămînt</w:t>
            </w:r>
          </w:p>
        </w:tc>
      </w:tr>
      <w:tr w:rsidR="003D495D" w:rsidRPr="003D495D" w:rsidTr="009D346D">
        <w:trPr>
          <w:trHeight w:val="330"/>
        </w:trPr>
        <w:tc>
          <w:tcPr>
            <w:tcW w:w="14411" w:type="dxa"/>
            <w:gridSpan w:val="7"/>
            <w:tcBorders>
              <w:top w:val="single" w:sz="4" w:space="0" w:color="auto"/>
              <w:left w:val="single" w:sz="4" w:space="0" w:color="auto"/>
              <w:bottom w:val="single" w:sz="4" w:space="0" w:color="auto"/>
              <w:right w:val="single" w:sz="4" w:space="0" w:color="000000"/>
            </w:tcBorders>
          </w:tcPr>
          <w:p w:rsidR="003D495D" w:rsidRPr="003D495D" w:rsidRDefault="003D495D" w:rsidP="003D495D">
            <w:pPr>
              <w:spacing w:after="0" w:line="240" w:lineRule="auto"/>
              <w:rPr>
                <w:rFonts w:ascii="Times New Roman" w:eastAsia="Calibri" w:hAnsi="Times New Roman" w:cs="Times New Roman"/>
                <w:b/>
                <w:bCs/>
                <w:i/>
                <w:iCs/>
                <w:szCs w:val="20"/>
              </w:rPr>
            </w:pPr>
            <w:r w:rsidRPr="003D495D">
              <w:rPr>
                <w:rFonts w:ascii="Times New Roman" w:eastAsia="Calibri" w:hAnsi="Times New Roman" w:cs="Times New Roman"/>
                <w:b/>
                <w:bCs/>
                <w:iCs/>
                <w:szCs w:val="20"/>
              </w:rPr>
              <w:t xml:space="preserve">Scopul suprogramului: </w:t>
            </w:r>
            <w:r w:rsidRPr="003D495D">
              <w:rPr>
                <w:rFonts w:ascii="Times New Roman" w:eastAsia="Calibri" w:hAnsi="Times New Roman" w:cs="Times New Roman"/>
                <w:iCs/>
                <w:szCs w:val="20"/>
              </w:rPr>
              <w:t>D</w:t>
            </w:r>
            <w:r w:rsidRPr="003D495D">
              <w:rPr>
                <w:rFonts w:ascii="Times New Roman" w:eastAsia="Calibri" w:hAnsi="Times New Roman" w:cs="Times New Roman"/>
                <w:szCs w:val="20"/>
              </w:rPr>
              <w:t>ezvoltarea şi realizarea politicii statului privind asigurarea unui învăţămînt de calitate</w:t>
            </w:r>
          </w:p>
        </w:tc>
      </w:tr>
      <w:tr w:rsidR="003D495D" w:rsidRPr="003D495D" w:rsidTr="009D346D">
        <w:trPr>
          <w:trHeight w:val="240"/>
        </w:trPr>
        <w:tc>
          <w:tcPr>
            <w:tcW w:w="3372" w:type="dxa"/>
            <w:tcBorders>
              <w:top w:val="nil"/>
              <w:left w:val="single" w:sz="4" w:space="0" w:color="auto"/>
              <w:bottom w:val="single" w:sz="4" w:space="0" w:color="auto"/>
              <w:right w:val="nil"/>
            </w:tcBorders>
          </w:tcPr>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 xml:space="preserve">A. Probleme cheie </w:t>
            </w:r>
          </w:p>
        </w:tc>
        <w:tc>
          <w:tcPr>
            <w:tcW w:w="11039" w:type="dxa"/>
            <w:gridSpan w:val="6"/>
            <w:tcBorders>
              <w:top w:val="nil"/>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A. Acţiuni curente</w:t>
            </w:r>
          </w:p>
        </w:tc>
      </w:tr>
      <w:tr w:rsidR="003D495D" w:rsidRPr="003D495D" w:rsidTr="009D346D">
        <w:trPr>
          <w:trHeight w:val="1839"/>
        </w:trPr>
        <w:tc>
          <w:tcPr>
            <w:tcW w:w="3372" w:type="dxa"/>
            <w:vMerge w:val="restart"/>
            <w:tcBorders>
              <w:top w:val="single" w:sz="4" w:space="0" w:color="auto"/>
              <w:left w:val="single" w:sz="4" w:space="0" w:color="auto"/>
              <w:right w:val="nil"/>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 xml:space="preserve">- Management deficient de asigurare a calităţii în învăţămînt </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Lipsa evaluării interne şi externe a programelor şi instituţiilor de învăţămînt superior</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Lipsa evaluării interne şi externe a programelor şi instituţiilor de învăţămînt secundar general şi vocaţional/tehnic</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Atractivitate scăzută pentru încorporarea în sistemul educaţional a cadrelor calificate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Gradul scăzut de eficienţă a sistemului de evaluare a rezultatelor şcolare</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B. Obiective de politici pe termen mediu:</w:t>
            </w:r>
          </w:p>
          <w:p w:rsidR="003D495D" w:rsidRPr="003D495D" w:rsidRDefault="003D495D" w:rsidP="003D495D">
            <w:pPr>
              <w:spacing w:after="0" w:line="240" w:lineRule="auto"/>
              <w:rPr>
                <w:rFonts w:ascii="Times New Roman" w:eastAsia="Calibri" w:hAnsi="Times New Roman" w:cs="Times New Roman"/>
                <w:b/>
                <w:bCs/>
                <w:szCs w:val="20"/>
                <w:u w:val="single"/>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Elaborarea şi implementarea mecanismului de evaluare instituţională internă şi externă în </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învăţămîntul secundar general şi vocaţional/tehnic către 2016</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Promovarea anuală a măsurilor de stimulare a cadrelor didactice, inclusiv a tinerilor specialişti </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Evaluarea externă a calităţii învăţămîntului juridic superior din RM în conformitate cu bunele practici europene şi principiile Bologna</w:t>
            </w:r>
          </w:p>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 Asigurarea eficienţei şi obiectivităţii sistemului de evaluare a rezultatelor şcolare</w:t>
            </w: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lastRenderedPageBreak/>
              <w:t xml:space="preserve">Dezvoltarea şi implementarea Cadrului Naţional al Calificărilor pentru învăţământul superior (ciclul I, ciclul II, doctorat), inclusiv, pentru învăţămîntul pedagogic Calificărilor  şi dezvoltarea Registrului electronic pentru CNC </w:t>
            </w:r>
          </w:p>
        </w:tc>
        <w:tc>
          <w:tcPr>
            <w:tcW w:w="1789" w:type="dxa"/>
            <w:tcBorders>
              <w:top w:val="single" w:sz="4" w:space="0" w:color="auto"/>
              <w:left w:val="nil"/>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r w:rsidRPr="003D495D">
              <w:rPr>
                <w:rFonts w:ascii="Times New Roman" w:eastAsia="Calibri" w:hAnsi="Times New Roman" w:cs="Times New Roman"/>
                <w:szCs w:val="20"/>
              </w:rPr>
              <w:t> </w:t>
            </w: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- 3 CNC dezvoltate şi editate în anul 2016</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- 3 CNC dezvoltate şi editate în anul 2017</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 specialități în anul 2018</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Registrul de Calificări dezvoltat către </w:t>
            </w:r>
            <w:r w:rsidRPr="003D495D">
              <w:rPr>
                <w:rFonts w:ascii="Times New Roman" w:eastAsia="Calibri" w:hAnsi="Times New Roman" w:cs="Times New Roman"/>
                <w:color w:val="FF0000"/>
                <w:szCs w:val="20"/>
              </w:rPr>
              <w:t>anul 2016</w:t>
            </w:r>
          </w:p>
        </w:tc>
      </w:tr>
      <w:tr w:rsidR="003D495D" w:rsidRPr="003D495D" w:rsidTr="009D346D">
        <w:trPr>
          <w:trHeight w:val="1838"/>
        </w:trPr>
        <w:tc>
          <w:tcPr>
            <w:tcW w:w="3372" w:type="dxa"/>
            <w:vMerge/>
            <w:tcBorders>
              <w:left w:val="single" w:sz="4" w:space="0" w:color="auto"/>
              <w:right w:val="nil"/>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Asigurarea funcţionalităţii şi consolidarea capacităţilor Agenţiei Naţionale de Asigurare a Calităţii în Învăţămîntul Profesional</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Agenţie Naţională de Asigurare a Calităţii în Învăţămîntul Profesional funcţională</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Standarde de acreditare elaborate</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Metodologie aprobată</w:t>
            </w:r>
          </w:p>
        </w:tc>
      </w:tr>
      <w:tr w:rsidR="003D495D" w:rsidRPr="003D495D" w:rsidTr="009D346D">
        <w:trPr>
          <w:trHeight w:val="844"/>
        </w:trPr>
        <w:tc>
          <w:tcPr>
            <w:tcW w:w="3372" w:type="dxa"/>
            <w:vMerge/>
            <w:tcBorders>
              <w:left w:val="single" w:sz="4" w:space="0" w:color="auto"/>
              <w:right w:val="nil"/>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 w:val="24"/>
                <w:szCs w:val="24"/>
              </w:rPr>
            </w:pPr>
            <w:r w:rsidRPr="003D495D">
              <w:rPr>
                <w:rFonts w:ascii="Times New Roman" w:eastAsia="Calibri" w:hAnsi="Times New Roman" w:cs="Times New Roman"/>
                <w:szCs w:val="20"/>
              </w:rPr>
              <w:t>Asigurarea funcţionalităţii şi consolidarea capacităţilor Agenției Națională pentru Curriculum și Evaluare</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 w:val="24"/>
                <w:szCs w:val="24"/>
              </w:rPr>
            </w:pPr>
          </w:p>
          <w:p w:rsidR="003D495D" w:rsidRPr="003D495D" w:rsidRDefault="003D495D" w:rsidP="003D495D">
            <w:pPr>
              <w:spacing w:after="0" w:line="240" w:lineRule="auto"/>
              <w:rPr>
                <w:rFonts w:ascii="Times New Roman" w:eastAsia="Calibri" w:hAnsi="Times New Roman" w:cs="Times New Roman"/>
                <w:sz w:val="24"/>
                <w:szCs w:val="24"/>
              </w:rPr>
            </w:pPr>
            <w:r w:rsidRPr="003D495D">
              <w:rPr>
                <w:rFonts w:ascii="Times New Roman" w:eastAsia="Calibri" w:hAnsi="Times New Roman" w:cs="Times New Roman"/>
                <w:sz w:val="24"/>
                <w:szCs w:val="24"/>
              </w:rPr>
              <w:t xml:space="preserve">- </w:t>
            </w:r>
            <w:r w:rsidRPr="003D495D">
              <w:rPr>
                <w:rFonts w:ascii="Times New Roman" w:eastAsia="Calibri" w:hAnsi="Times New Roman" w:cs="Times New Roman"/>
                <w:szCs w:val="20"/>
              </w:rPr>
              <w:t>Agenţie reorganizată şi funcţională</w:t>
            </w:r>
            <w:r w:rsidRPr="003D495D">
              <w:rPr>
                <w:rFonts w:ascii="Times New Roman" w:eastAsia="Calibri" w:hAnsi="Times New Roman" w:cs="Times New Roman"/>
                <w:sz w:val="24"/>
                <w:szCs w:val="24"/>
              </w:rPr>
              <w:t xml:space="preserve"> </w:t>
            </w:r>
          </w:p>
        </w:tc>
      </w:tr>
      <w:tr w:rsidR="003D495D" w:rsidRPr="003D495D" w:rsidTr="009D346D">
        <w:trPr>
          <w:trHeight w:val="843"/>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szCs w:val="20"/>
                <w:u w:val="single"/>
              </w:rPr>
            </w:pPr>
          </w:p>
        </w:tc>
        <w:tc>
          <w:tcPr>
            <w:tcW w:w="3601" w:type="dxa"/>
            <w:gridSpan w:val="2"/>
            <w:tcBorders>
              <w:top w:val="single" w:sz="4" w:space="0" w:color="auto"/>
              <w:left w:val="nil"/>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Sprijinul universităţilor în dezvoltarea sistemelor de management în asigurarea calităţii</w:t>
            </w:r>
          </w:p>
        </w:tc>
        <w:tc>
          <w:tcPr>
            <w:tcW w:w="1789"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-Numărul de universități cu sistem de management în asigurarea calității dezvoltat</w:t>
            </w:r>
          </w:p>
        </w:tc>
      </w:tr>
      <w:tr w:rsidR="003D495D" w:rsidRPr="003D495D" w:rsidTr="009D346D">
        <w:trPr>
          <w:trHeight w:val="120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Evaluarea internă şi externă a instituţiilor şi programelor de formare profesională în instituţiile de învăţămînt vocaţional/tehnic şi superior </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 la sută de programe de formare profesională evaluate anual</w:t>
            </w:r>
          </w:p>
        </w:tc>
      </w:tr>
      <w:tr w:rsidR="003D495D" w:rsidRPr="003D495D" w:rsidTr="009D346D">
        <w:trPr>
          <w:trHeight w:val="155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Acordarea indemnizaţiei unice absolvenţilor instituţiilor de învăţămînt superior şi postsecundar pedagogic, încadraţi în instituţiile de învăţămînt prin repartizare de către Ministerul Educaţiei</w:t>
            </w:r>
          </w:p>
        </w:tc>
        <w:tc>
          <w:tcPr>
            <w:tcW w:w="17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nil"/>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color w:val="FF0000"/>
                <w:szCs w:val="20"/>
              </w:rPr>
            </w:pPr>
            <w:r w:rsidRPr="003D495D">
              <w:rPr>
                <w:rFonts w:ascii="Times New Roman" w:eastAsia="Calibri" w:hAnsi="Times New Roman" w:cs="Times New Roman"/>
                <w:szCs w:val="20"/>
              </w:rPr>
              <w:t xml:space="preserve">- 1258 de beneficiari din domeniul educaţiei în anul </w:t>
            </w:r>
            <w:r w:rsidRPr="003D495D">
              <w:rPr>
                <w:rFonts w:ascii="Times New Roman" w:eastAsia="Calibri" w:hAnsi="Times New Roman" w:cs="Times New Roman"/>
                <w:color w:val="FF0000"/>
                <w:szCs w:val="20"/>
              </w:rPr>
              <w:t>2016</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- 1300 de beneficiari în anul 2017</w:t>
            </w:r>
          </w:p>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- 1300 de beneficiari în anul 2018</w:t>
            </w:r>
          </w:p>
        </w:tc>
      </w:tr>
      <w:tr w:rsidR="003D495D" w:rsidRPr="003D495D" w:rsidTr="009D346D">
        <w:trPr>
          <w:trHeight w:val="332"/>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B. Acţiuni ce duc la o utilizare mai eficace şi eficientă a resurselor</w:t>
            </w:r>
          </w:p>
        </w:tc>
      </w:tr>
      <w:tr w:rsidR="003D495D" w:rsidRPr="003D495D" w:rsidTr="009D346D">
        <w:trPr>
          <w:trHeight w:val="848"/>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Evaluarea externă și acreditarea programelor și instituțiilor de învățămînt superior</w:t>
            </w:r>
          </w:p>
        </w:tc>
        <w:tc>
          <w:tcPr>
            <w:tcW w:w="1789" w:type="dxa"/>
            <w:tcBorders>
              <w:top w:val="single" w:sz="4" w:space="0" w:color="auto"/>
              <w:left w:val="nil"/>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right w:val="nil"/>
            </w:tcBorders>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Numărul instituțiilor evaluate și numărul programelor acreditate</w:t>
            </w:r>
          </w:p>
        </w:tc>
      </w:tr>
      <w:tr w:rsidR="003D495D" w:rsidRPr="003D495D" w:rsidTr="009D346D">
        <w:trPr>
          <w:trHeight w:val="48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11039" w:type="dxa"/>
            <w:gridSpan w:val="6"/>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jc w:val="center"/>
              <w:rPr>
                <w:rFonts w:ascii="Times New Roman" w:eastAsia="Calibri" w:hAnsi="Times New Roman" w:cs="Times New Roman"/>
                <w:b/>
                <w:bCs/>
                <w:szCs w:val="20"/>
                <w:u w:val="single"/>
              </w:rPr>
            </w:pPr>
            <w:r w:rsidRPr="003D495D">
              <w:rPr>
                <w:rFonts w:ascii="Times New Roman" w:eastAsia="Calibri" w:hAnsi="Times New Roman" w:cs="Times New Roman"/>
                <w:b/>
                <w:bCs/>
                <w:szCs w:val="20"/>
                <w:u w:val="single"/>
              </w:rPr>
              <w:t>C. Acţiuni noi identificate pentru anii 2016-2018</w:t>
            </w:r>
          </w:p>
        </w:tc>
      </w:tr>
      <w:tr w:rsidR="003D495D" w:rsidRPr="003D495D" w:rsidTr="009D346D">
        <w:trPr>
          <w:trHeight w:val="626"/>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Evaluarea programelor de studii şi instituţiilor în învăţămîntul superior</w:t>
            </w:r>
          </w:p>
        </w:tc>
        <w:tc>
          <w:tcPr>
            <w:tcW w:w="1789"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 la sută de programe de licenţă evaluate anual</w:t>
            </w:r>
          </w:p>
        </w:tc>
      </w:tr>
      <w:tr w:rsidR="003D495D" w:rsidRPr="003D495D" w:rsidTr="009D346D">
        <w:trPr>
          <w:trHeight w:val="976"/>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Ierarhizarea instituțiilor de învățămînt superior</w:t>
            </w:r>
          </w:p>
        </w:tc>
        <w:tc>
          <w:tcPr>
            <w:tcW w:w="1789"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- 10 la sută din numărul de instituţii de învăţămînt superior evaluate şi acreditate anual</w:t>
            </w:r>
          </w:p>
        </w:tc>
      </w:tr>
      <w:tr w:rsidR="003D495D" w:rsidRPr="003D495D" w:rsidTr="009D346D">
        <w:trPr>
          <w:trHeight w:val="380"/>
        </w:trPr>
        <w:tc>
          <w:tcPr>
            <w:tcW w:w="3372" w:type="dxa"/>
            <w:vMerge/>
            <w:tcBorders>
              <w:left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i/>
                <w:iCs/>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Asigurarea funcționalității și consolidarea capacităților Inspectoratului Școlar Național (IȘN)</w:t>
            </w:r>
          </w:p>
        </w:tc>
        <w:tc>
          <w:tcPr>
            <w:tcW w:w="1789" w:type="dxa"/>
            <w:tcBorders>
              <w:top w:val="single" w:sz="4" w:space="0" w:color="auto"/>
              <w:left w:val="nil"/>
              <w:bottom w:val="single" w:sz="4" w:space="0" w:color="auto"/>
              <w:right w:val="single" w:sz="4" w:space="0" w:color="auto"/>
            </w:tcBorders>
            <w:shd w:val="clear" w:color="auto" w:fill="FFFFFF" w:themeFill="background1"/>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xml:space="preserve">- IȘN funcțional </w:t>
            </w:r>
          </w:p>
        </w:tc>
      </w:tr>
      <w:tr w:rsidR="003D495D" w:rsidRPr="003D495D" w:rsidTr="009D346D">
        <w:trPr>
          <w:trHeight w:val="556"/>
        </w:trPr>
        <w:tc>
          <w:tcPr>
            <w:tcW w:w="3372" w:type="dxa"/>
            <w:vMerge/>
            <w:tcBorders>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i/>
                <w:iCs/>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Organizarea formării profesionale a angajaților IȘN</w:t>
            </w:r>
          </w:p>
        </w:tc>
        <w:tc>
          <w:tcPr>
            <w:tcW w:w="1789" w:type="dxa"/>
            <w:tcBorders>
              <w:top w:val="single" w:sz="4" w:space="0" w:color="auto"/>
              <w:left w:val="nil"/>
              <w:bottom w:val="single" w:sz="4" w:space="0" w:color="auto"/>
              <w:right w:val="single" w:sz="4" w:space="0" w:color="auto"/>
            </w:tcBorders>
            <w:shd w:val="clear" w:color="auto" w:fill="FFFFFF" w:themeFill="background1"/>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szCs w:val="20"/>
              </w:rPr>
            </w:pPr>
            <w:r w:rsidRPr="003D495D">
              <w:rPr>
                <w:rFonts w:ascii="Times New Roman" w:eastAsia="Calibri" w:hAnsi="Times New Roman" w:cs="Times New Roman"/>
                <w:szCs w:val="20"/>
              </w:rPr>
              <w:t>- Numărul de zile de formare organizate pentru angajații IȘN</w:t>
            </w:r>
          </w:p>
        </w:tc>
      </w:tr>
      <w:tr w:rsidR="003D495D" w:rsidRPr="003D495D" w:rsidTr="009D346D">
        <w:trPr>
          <w:trHeight w:val="556"/>
        </w:trPr>
        <w:tc>
          <w:tcPr>
            <w:tcW w:w="3372" w:type="dxa"/>
            <w:tcBorders>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b/>
                <w:bCs/>
                <w:i/>
                <w:iCs/>
                <w:szCs w:val="20"/>
              </w:rPr>
            </w:pPr>
          </w:p>
        </w:tc>
        <w:tc>
          <w:tcPr>
            <w:tcW w:w="3601" w:type="dxa"/>
            <w:gridSpan w:val="2"/>
            <w:tcBorders>
              <w:top w:val="single" w:sz="4" w:space="0" w:color="auto"/>
              <w:left w:val="single" w:sz="4" w:space="0" w:color="auto"/>
              <w:bottom w:val="single" w:sz="4" w:space="0" w:color="auto"/>
              <w:right w:val="single" w:sz="4" w:space="0" w:color="auto"/>
            </w:tcBorders>
          </w:tcPr>
          <w:p w:rsidR="003D495D" w:rsidRPr="003D495D" w:rsidRDefault="003D495D" w:rsidP="003D495D">
            <w:pPr>
              <w:spacing w:after="0" w:line="240" w:lineRule="auto"/>
              <w:rPr>
                <w:rFonts w:ascii="Times New Roman" w:eastAsia="Calibri" w:hAnsi="Times New Roman" w:cs="Times New Roman"/>
                <w:lang w:val="ro-MD"/>
              </w:rPr>
            </w:pPr>
            <w:r w:rsidRPr="003D495D">
              <w:rPr>
                <w:rFonts w:ascii="Times New Roman" w:eastAsia="Times New Roman" w:hAnsi="Times New Roman" w:cs="Times New Roman"/>
                <w:lang w:val="ro-MD"/>
              </w:rPr>
              <w:t>-   Instituirea oficiilor desconcentrate ale Ministerului Educaţiei</w:t>
            </w:r>
          </w:p>
        </w:tc>
        <w:tc>
          <w:tcPr>
            <w:tcW w:w="1789" w:type="dxa"/>
            <w:tcBorders>
              <w:top w:val="single" w:sz="4" w:space="0" w:color="auto"/>
              <w:left w:val="nil"/>
              <w:bottom w:val="single" w:sz="4" w:space="0" w:color="auto"/>
              <w:right w:val="single" w:sz="4" w:space="0" w:color="auto"/>
            </w:tcBorders>
            <w:shd w:val="clear" w:color="auto" w:fill="FFFFFF" w:themeFill="background1"/>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380" w:type="dxa"/>
            <w:tcBorders>
              <w:top w:val="single" w:sz="4" w:space="0" w:color="auto"/>
              <w:left w:val="nil"/>
              <w:bottom w:val="single" w:sz="4" w:space="0" w:color="auto"/>
              <w:right w:val="nil"/>
            </w:tcBorders>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2889" w:type="dxa"/>
            <w:tcBorders>
              <w:top w:val="single" w:sz="4" w:space="0" w:color="auto"/>
              <w:left w:val="single" w:sz="4" w:space="0" w:color="auto"/>
              <w:bottom w:val="single" w:sz="4" w:space="0" w:color="auto"/>
              <w:right w:val="single" w:sz="4" w:space="0" w:color="auto"/>
            </w:tcBorders>
          </w:tcPr>
          <w:p w:rsidR="003D495D" w:rsidRPr="003D495D" w:rsidRDefault="003D495D" w:rsidP="003D495D">
            <w:pPr>
              <w:numPr>
                <w:ilvl w:val="0"/>
                <w:numId w:val="15"/>
              </w:numPr>
              <w:spacing w:after="0" w:line="240" w:lineRule="auto"/>
              <w:contextualSpacing/>
              <w:rPr>
                <w:rFonts w:ascii="Times New Roman" w:eastAsia="Calibri" w:hAnsi="Times New Roman" w:cs="Times New Roman"/>
              </w:rPr>
            </w:pPr>
            <w:r w:rsidRPr="003D495D">
              <w:rPr>
                <w:rFonts w:ascii="Times New Roman" w:eastAsia="Times New Roman" w:hAnsi="Times New Roman" w:cs="Times New Roman"/>
                <w:lang w:val="ro-MD"/>
              </w:rPr>
              <w:t xml:space="preserve">Oficiile desconcentrate ale ME instituite în anul </w:t>
            </w:r>
            <w:r w:rsidRPr="003D495D">
              <w:rPr>
                <w:rFonts w:ascii="Times New Roman" w:eastAsia="Times New Roman" w:hAnsi="Times New Roman" w:cs="Times New Roman"/>
                <w:color w:val="FF0000"/>
                <w:lang w:val="ro-MD"/>
              </w:rPr>
              <w:t>2016</w:t>
            </w:r>
          </w:p>
        </w:tc>
      </w:tr>
      <w:tr w:rsidR="003D495D" w:rsidRPr="003D495D" w:rsidTr="009D346D">
        <w:trPr>
          <w:trHeight w:val="379"/>
        </w:trPr>
        <w:tc>
          <w:tcPr>
            <w:tcW w:w="337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3D495D" w:rsidRPr="003D495D" w:rsidRDefault="003D495D" w:rsidP="003D495D">
            <w:pPr>
              <w:spacing w:after="0" w:line="240" w:lineRule="auto"/>
              <w:rPr>
                <w:rFonts w:ascii="Times New Roman" w:eastAsia="Calibri" w:hAnsi="Times New Roman" w:cs="Times New Roman"/>
                <w:b/>
                <w:bCs/>
                <w:i/>
                <w:iCs/>
                <w:szCs w:val="20"/>
              </w:rPr>
            </w:pPr>
            <w:r w:rsidRPr="003D495D">
              <w:rPr>
                <w:rFonts w:ascii="Times New Roman" w:eastAsia="Calibri" w:hAnsi="Times New Roman" w:cs="Times New Roman"/>
                <w:b/>
                <w:bCs/>
                <w:i/>
                <w:iCs/>
                <w:szCs w:val="20"/>
              </w:rPr>
              <w:t>Costul subprogramului</w:t>
            </w:r>
          </w:p>
        </w:tc>
        <w:tc>
          <w:tcPr>
            <w:tcW w:w="3601"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c>
          <w:tcPr>
            <w:tcW w:w="1789" w:type="dxa"/>
            <w:tcBorders>
              <w:top w:val="nil"/>
              <w:left w:val="nil"/>
              <w:bottom w:val="single" w:sz="4" w:space="0" w:color="auto"/>
              <w:right w:val="single" w:sz="4" w:space="0" w:color="auto"/>
            </w:tcBorders>
            <w:shd w:val="clear" w:color="auto" w:fill="A8D08D" w:themeFill="accent6" w:themeFillTint="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1380"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2889"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r>
      <w:tr w:rsidR="003D495D" w:rsidRPr="003D495D" w:rsidTr="009D346D">
        <w:trPr>
          <w:trHeight w:val="375"/>
        </w:trPr>
        <w:tc>
          <w:tcPr>
            <w:tcW w:w="3372" w:type="dxa"/>
            <w:tcBorders>
              <w:top w:val="nil"/>
              <w:left w:val="single" w:sz="4" w:space="0" w:color="auto"/>
              <w:bottom w:val="single" w:sz="4" w:space="0" w:color="auto"/>
              <w:right w:val="single" w:sz="4" w:space="0" w:color="auto"/>
            </w:tcBorders>
            <w:shd w:val="clear" w:color="auto" w:fill="B4C6E7" w:themeFill="accent5" w:themeFillTint="66"/>
          </w:tcPr>
          <w:p w:rsidR="003D495D" w:rsidRPr="003D495D" w:rsidRDefault="003D495D" w:rsidP="003D495D">
            <w:pPr>
              <w:spacing w:after="0" w:line="240" w:lineRule="auto"/>
              <w:rPr>
                <w:rFonts w:ascii="Times New Roman" w:eastAsia="Calibri" w:hAnsi="Times New Roman" w:cs="Times New Roman"/>
                <w:b/>
                <w:bCs/>
                <w:i/>
                <w:iCs/>
                <w:szCs w:val="20"/>
              </w:rPr>
            </w:pPr>
            <w:r w:rsidRPr="003D495D">
              <w:rPr>
                <w:rFonts w:ascii="Times New Roman" w:eastAsia="Calibri" w:hAnsi="Times New Roman" w:cs="Times New Roman"/>
                <w:b/>
                <w:bCs/>
                <w:i/>
                <w:iCs/>
                <w:szCs w:val="20"/>
              </w:rPr>
              <w:t>Costul Programului</w:t>
            </w:r>
          </w:p>
        </w:tc>
        <w:tc>
          <w:tcPr>
            <w:tcW w:w="3601" w:type="dxa"/>
            <w:gridSpan w:val="2"/>
            <w:tcBorders>
              <w:top w:val="nil"/>
              <w:left w:val="nil"/>
              <w:bottom w:val="single" w:sz="4" w:space="0" w:color="auto"/>
              <w:right w:val="single" w:sz="4" w:space="0" w:color="auto"/>
            </w:tcBorders>
            <w:shd w:val="clear" w:color="auto" w:fill="B4C6E7" w:themeFill="accent5" w:themeFillTint="66"/>
            <w:vAlign w:val="center"/>
          </w:tcPr>
          <w:p w:rsidR="003D495D" w:rsidRPr="003D495D" w:rsidRDefault="003D495D" w:rsidP="003D495D">
            <w:pPr>
              <w:spacing w:after="0" w:line="240" w:lineRule="auto"/>
              <w:jc w:val="center"/>
              <w:rPr>
                <w:rFonts w:ascii="Times New Roman" w:eastAsia="Calibri" w:hAnsi="Times New Roman" w:cs="Times New Roman"/>
                <w:b/>
                <w:szCs w:val="20"/>
              </w:rPr>
            </w:pPr>
          </w:p>
        </w:tc>
        <w:tc>
          <w:tcPr>
            <w:tcW w:w="1789" w:type="dxa"/>
            <w:tcBorders>
              <w:top w:val="nil"/>
              <w:left w:val="nil"/>
              <w:bottom w:val="single" w:sz="4" w:space="0" w:color="auto"/>
              <w:right w:val="single" w:sz="4" w:space="0" w:color="auto"/>
            </w:tcBorders>
            <w:shd w:val="clear" w:color="auto" w:fill="B4C6E7" w:themeFill="accent5" w:themeFillTint="66"/>
            <w:vAlign w:val="center"/>
          </w:tcPr>
          <w:p w:rsidR="003D495D" w:rsidRPr="003D495D" w:rsidRDefault="003D495D" w:rsidP="003D495D">
            <w:pPr>
              <w:spacing w:after="0" w:line="240" w:lineRule="auto"/>
              <w:jc w:val="center"/>
              <w:rPr>
                <w:rFonts w:ascii="Times New Roman" w:eastAsia="Calibri" w:hAnsi="Times New Roman" w:cs="Times New Roman"/>
                <w:b/>
                <w:szCs w:val="20"/>
              </w:rPr>
            </w:pPr>
          </w:p>
        </w:tc>
        <w:tc>
          <w:tcPr>
            <w:tcW w:w="1380" w:type="dxa"/>
            <w:tcBorders>
              <w:top w:val="nil"/>
              <w:left w:val="single" w:sz="4" w:space="0" w:color="auto"/>
              <w:bottom w:val="single" w:sz="4" w:space="0" w:color="auto"/>
              <w:right w:val="single" w:sz="4" w:space="0" w:color="auto"/>
            </w:tcBorders>
            <w:shd w:val="clear" w:color="auto" w:fill="B4C6E7" w:themeFill="accent5" w:themeFillTint="66"/>
            <w:vAlign w:val="center"/>
          </w:tcPr>
          <w:p w:rsidR="003D495D" w:rsidRPr="003D495D" w:rsidRDefault="003D495D" w:rsidP="003D495D">
            <w:pPr>
              <w:spacing w:after="0" w:line="240" w:lineRule="auto"/>
              <w:jc w:val="center"/>
              <w:rPr>
                <w:rFonts w:ascii="Times New Roman" w:eastAsia="Calibri" w:hAnsi="Times New Roman" w:cs="Times New Roman"/>
                <w:b/>
                <w:szCs w:val="20"/>
              </w:rPr>
            </w:pPr>
          </w:p>
        </w:tc>
        <w:tc>
          <w:tcPr>
            <w:tcW w:w="1380" w:type="dxa"/>
            <w:tcBorders>
              <w:top w:val="nil"/>
              <w:left w:val="nil"/>
              <w:bottom w:val="single" w:sz="4" w:space="0" w:color="auto"/>
              <w:right w:val="single" w:sz="4" w:space="0" w:color="auto"/>
            </w:tcBorders>
            <w:shd w:val="clear" w:color="auto" w:fill="B4C6E7" w:themeFill="accent5" w:themeFillTint="66"/>
            <w:vAlign w:val="center"/>
          </w:tcPr>
          <w:p w:rsidR="003D495D" w:rsidRPr="003D495D" w:rsidRDefault="003D495D" w:rsidP="003D495D">
            <w:pPr>
              <w:spacing w:after="0" w:line="240" w:lineRule="auto"/>
              <w:jc w:val="center"/>
              <w:rPr>
                <w:rFonts w:ascii="Times New Roman" w:eastAsia="Calibri" w:hAnsi="Times New Roman" w:cs="Times New Roman"/>
                <w:b/>
                <w:bCs/>
                <w:szCs w:val="20"/>
              </w:rPr>
            </w:pPr>
          </w:p>
        </w:tc>
        <w:tc>
          <w:tcPr>
            <w:tcW w:w="2889" w:type="dxa"/>
            <w:tcBorders>
              <w:top w:val="nil"/>
              <w:left w:val="nil"/>
              <w:bottom w:val="single" w:sz="4" w:space="0" w:color="auto"/>
              <w:right w:val="single" w:sz="4" w:space="0" w:color="auto"/>
            </w:tcBorders>
            <w:shd w:val="clear" w:color="auto" w:fill="B4C6E7" w:themeFill="accent5" w:themeFillTint="66"/>
            <w:vAlign w:val="center"/>
          </w:tcPr>
          <w:p w:rsidR="003D495D" w:rsidRPr="003D495D" w:rsidRDefault="003D495D" w:rsidP="003D495D">
            <w:pPr>
              <w:spacing w:after="0" w:line="240" w:lineRule="auto"/>
              <w:jc w:val="center"/>
              <w:rPr>
                <w:rFonts w:ascii="Times New Roman" w:eastAsia="Calibri" w:hAnsi="Times New Roman" w:cs="Times New Roman"/>
                <w:szCs w:val="20"/>
              </w:rPr>
            </w:pPr>
          </w:p>
        </w:tc>
      </w:tr>
    </w:tbl>
    <w:p w:rsidR="003D495D" w:rsidRPr="003D495D" w:rsidRDefault="003D495D" w:rsidP="003D495D">
      <w:pPr>
        <w:spacing w:after="0" w:line="240" w:lineRule="auto"/>
        <w:rPr>
          <w:rFonts w:ascii="Times New Roman" w:eastAsia="Calibri" w:hAnsi="Times New Roman" w:cs="Times New Roman"/>
          <w:szCs w:val="20"/>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jc w:val="both"/>
        <w:rPr>
          <w:rFonts w:ascii="Times New Roman" w:eastAsia="Calibri" w:hAnsi="Times New Roman" w:cs="Times New Roman"/>
          <w:sz w:val="24"/>
          <w:szCs w:val="24"/>
        </w:rPr>
      </w:pPr>
    </w:p>
    <w:p w:rsidR="003D495D" w:rsidRPr="003D495D" w:rsidRDefault="003D495D" w:rsidP="003D495D">
      <w:pPr>
        <w:spacing w:after="0" w:line="240" w:lineRule="auto"/>
        <w:rPr>
          <w:rFonts w:ascii="Times New Roman" w:eastAsia="Calibri" w:hAnsi="Times New Roman" w:cs="Times New Roman"/>
          <w:szCs w:val="20"/>
          <w:lang w:val="en-GB"/>
        </w:rPr>
      </w:pPr>
    </w:p>
    <w:p w:rsidR="00E65892" w:rsidRDefault="00E65892"/>
    <w:sectPr w:rsidR="00E65892" w:rsidSect="00511C0B">
      <w:footerReference w:type="default" r:id="rId7"/>
      <w:pgSz w:w="15840" w:h="12240" w:orient="landscape"/>
      <w:pgMar w:top="284" w:right="1134"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78F" w:rsidRDefault="0001278F">
      <w:pPr>
        <w:spacing w:after="0" w:line="240" w:lineRule="auto"/>
      </w:pPr>
      <w:r>
        <w:separator/>
      </w:r>
    </w:p>
  </w:endnote>
  <w:endnote w:type="continuationSeparator" w:id="0">
    <w:p w:rsidR="0001278F" w:rsidRDefault="0001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829413"/>
      <w:docPartObj>
        <w:docPartGallery w:val="Page Numbers (Bottom of Page)"/>
        <w:docPartUnique/>
      </w:docPartObj>
    </w:sdtPr>
    <w:sdtEndPr/>
    <w:sdtContent>
      <w:p w:rsidR="00E45C8B" w:rsidRDefault="008E6277">
        <w:pPr>
          <w:pStyle w:val="Footer"/>
          <w:jc w:val="right"/>
        </w:pPr>
        <w:r>
          <w:fldChar w:fldCharType="begin"/>
        </w:r>
        <w:r>
          <w:instrText xml:space="preserve"> PAGE   \* MERGEFORMAT </w:instrText>
        </w:r>
        <w:r>
          <w:fldChar w:fldCharType="separate"/>
        </w:r>
        <w:r w:rsidR="00077290">
          <w:rPr>
            <w:noProof/>
          </w:rPr>
          <w:t>2</w:t>
        </w:r>
        <w:r>
          <w:rPr>
            <w:noProof/>
          </w:rPr>
          <w:fldChar w:fldCharType="end"/>
        </w:r>
      </w:p>
    </w:sdtContent>
  </w:sdt>
  <w:p w:rsidR="00E45C8B" w:rsidRDefault="00012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78F" w:rsidRDefault="0001278F">
      <w:pPr>
        <w:spacing w:after="0" w:line="240" w:lineRule="auto"/>
      </w:pPr>
      <w:r>
        <w:separator/>
      </w:r>
    </w:p>
  </w:footnote>
  <w:footnote w:type="continuationSeparator" w:id="0">
    <w:p w:rsidR="0001278F" w:rsidRDefault="000127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4CD4"/>
    <w:multiLevelType w:val="hybridMultilevel"/>
    <w:tmpl w:val="EB581BE6"/>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D017FFC"/>
    <w:multiLevelType w:val="hybridMultilevel"/>
    <w:tmpl w:val="AE3220BC"/>
    <w:lvl w:ilvl="0" w:tplc="2506BF9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B5BD8"/>
    <w:multiLevelType w:val="hybridMultilevel"/>
    <w:tmpl w:val="C71AB516"/>
    <w:lvl w:ilvl="0" w:tplc="217AD14C">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81347"/>
    <w:multiLevelType w:val="hybridMultilevel"/>
    <w:tmpl w:val="9F96DB48"/>
    <w:lvl w:ilvl="0" w:tplc="04180015">
      <w:start w:val="1"/>
      <w:numFmt w:val="upp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1A7D66C4"/>
    <w:multiLevelType w:val="singleLevel"/>
    <w:tmpl w:val="76B46C3A"/>
    <w:lvl w:ilvl="0">
      <w:start w:val="1"/>
      <w:numFmt w:val="bullet"/>
      <w:pStyle w:val="BodyText"/>
      <w:lvlText w:val=""/>
      <w:lvlJc w:val="left"/>
      <w:pPr>
        <w:tabs>
          <w:tab w:val="num" w:pos="2088"/>
        </w:tabs>
        <w:ind w:left="1944" w:hanging="216"/>
      </w:pPr>
      <w:rPr>
        <w:rFonts w:ascii="Symbol" w:hAnsi="Symbol" w:hint="default"/>
      </w:rPr>
    </w:lvl>
  </w:abstractNum>
  <w:abstractNum w:abstractNumId="5" w15:restartNumberingAfterBreak="0">
    <w:nsid w:val="1B040D1C"/>
    <w:multiLevelType w:val="hybridMultilevel"/>
    <w:tmpl w:val="1174F05E"/>
    <w:lvl w:ilvl="0" w:tplc="F200741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1E671595"/>
    <w:multiLevelType w:val="singleLevel"/>
    <w:tmpl w:val="2D94DA52"/>
    <w:lvl w:ilvl="0">
      <w:start w:val="1"/>
      <w:numFmt w:val="bullet"/>
      <w:pStyle w:val="a"/>
      <w:lvlText w:val=""/>
      <w:lvlJc w:val="left"/>
      <w:pPr>
        <w:tabs>
          <w:tab w:val="num" w:pos="1512"/>
        </w:tabs>
        <w:ind w:left="1368" w:hanging="216"/>
      </w:pPr>
      <w:rPr>
        <w:rFonts w:ascii="Symbol" w:hAnsi="Symbol" w:hint="default"/>
      </w:rPr>
    </w:lvl>
  </w:abstractNum>
  <w:abstractNum w:abstractNumId="7" w15:restartNumberingAfterBreak="0">
    <w:nsid w:val="217F4D2B"/>
    <w:multiLevelType w:val="singleLevel"/>
    <w:tmpl w:val="08090005"/>
    <w:lvl w:ilvl="0">
      <w:start w:val="1"/>
      <w:numFmt w:val="bullet"/>
      <w:pStyle w:val="TitlePage"/>
      <w:lvlText w:val=""/>
      <w:lvlJc w:val="left"/>
      <w:pPr>
        <w:tabs>
          <w:tab w:val="num" w:pos="360"/>
        </w:tabs>
        <w:ind w:left="360" w:hanging="360"/>
      </w:pPr>
      <w:rPr>
        <w:rFonts w:ascii="Wingdings" w:hAnsi="Wingdings" w:hint="default"/>
      </w:rPr>
    </w:lvl>
  </w:abstractNum>
  <w:abstractNum w:abstractNumId="8" w15:restartNumberingAfterBreak="0">
    <w:nsid w:val="29AE4319"/>
    <w:multiLevelType w:val="multilevel"/>
    <w:tmpl w:val="D5C0A7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461646"/>
    <w:multiLevelType w:val="hybridMultilevel"/>
    <w:tmpl w:val="2A241E00"/>
    <w:lvl w:ilvl="0" w:tplc="6F28B0C6">
      <w:start w:val="1"/>
      <w:numFmt w:val="lowerLetter"/>
      <w:lvlText w:val="%1)"/>
      <w:lvlJc w:val="left"/>
      <w:pPr>
        <w:tabs>
          <w:tab w:val="num" w:pos="720"/>
        </w:tabs>
        <w:ind w:left="720" w:hanging="360"/>
      </w:pPr>
      <w:rPr>
        <w:rFonts w:ascii="Times New Roman" w:eastAsia="Calibri"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46E15"/>
    <w:multiLevelType w:val="hybridMultilevel"/>
    <w:tmpl w:val="A22042FC"/>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35AF2C33"/>
    <w:multiLevelType w:val="singleLevel"/>
    <w:tmpl w:val="902C5066"/>
    <w:lvl w:ilvl="0">
      <w:start w:val="1"/>
      <w:numFmt w:val="bullet"/>
      <w:pStyle w:val="BoxBullet"/>
      <w:lvlText w:val=""/>
      <w:lvlJc w:val="left"/>
      <w:pPr>
        <w:tabs>
          <w:tab w:val="num" w:pos="3763"/>
        </w:tabs>
        <w:ind w:left="3547" w:hanging="144"/>
      </w:pPr>
      <w:rPr>
        <w:rFonts w:ascii="Wingdings" w:hAnsi="Wingdings" w:hint="default"/>
      </w:rPr>
    </w:lvl>
  </w:abstractNum>
  <w:abstractNum w:abstractNumId="12" w15:restartNumberingAfterBreak="0">
    <w:nsid w:val="3D977F26"/>
    <w:multiLevelType w:val="hybridMultilevel"/>
    <w:tmpl w:val="90DE2030"/>
    <w:lvl w:ilvl="0" w:tplc="7B8C0DBE">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D4CCD"/>
    <w:multiLevelType w:val="singleLevel"/>
    <w:tmpl w:val="4B1002FA"/>
    <w:lvl w:ilvl="0">
      <w:start w:val="1"/>
      <w:numFmt w:val="bullet"/>
      <w:pStyle w:val="BodyText2"/>
      <w:lvlText w:val=""/>
      <w:lvlJc w:val="left"/>
      <w:pPr>
        <w:tabs>
          <w:tab w:val="num" w:pos="504"/>
        </w:tabs>
        <w:ind w:left="288" w:hanging="144"/>
      </w:pPr>
      <w:rPr>
        <w:rFonts w:ascii="Symbol" w:hAnsi="Symbol" w:hint="default"/>
      </w:rPr>
    </w:lvl>
  </w:abstractNum>
  <w:abstractNum w:abstractNumId="14" w15:restartNumberingAfterBreak="0">
    <w:nsid w:val="437F265E"/>
    <w:multiLevelType w:val="multilevel"/>
    <w:tmpl w:val="89E6C8A6"/>
    <w:lvl w:ilvl="0">
      <w:start w:val="1"/>
      <w:numFmt w:val="upperLetter"/>
      <w:pStyle w:val="Heading1"/>
      <w:lvlText w:val="%1."/>
      <w:lvlJc w:val="left"/>
      <w:pPr>
        <w:tabs>
          <w:tab w:val="num" w:pos="2629"/>
        </w:tabs>
        <w:ind w:left="2341" w:hanging="72"/>
      </w:pPr>
      <w:rPr>
        <w:rFonts w:cs="Times New Roman"/>
      </w:rPr>
    </w:lvl>
    <w:lvl w:ilvl="1">
      <w:start w:val="1"/>
      <w:numFmt w:val="decimal"/>
      <w:lvlText w:val="%2."/>
      <w:lvlJc w:val="left"/>
      <w:pPr>
        <w:tabs>
          <w:tab w:val="num" w:pos="2341"/>
        </w:tabs>
        <w:ind w:left="1981"/>
      </w:pPr>
      <w:rPr>
        <w:rFonts w:cs="Times New Roman"/>
      </w:rPr>
    </w:lvl>
    <w:lvl w:ilvl="2">
      <w:start w:val="1"/>
      <w:numFmt w:val="lowerRoman"/>
      <w:lvlText w:val="%3)"/>
      <w:lvlJc w:val="left"/>
      <w:pPr>
        <w:tabs>
          <w:tab w:val="num" w:pos="3061"/>
        </w:tabs>
        <w:ind w:left="3061" w:hanging="360"/>
      </w:pPr>
      <w:rPr>
        <w:rFonts w:cs="Times New Roman"/>
      </w:rPr>
    </w:lvl>
    <w:lvl w:ilvl="3">
      <w:start w:val="1"/>
      <w:numFmt w:val="decimal"/>
      <w:lvlText w:val="(%4)"/>
      <w:lvlJc w:val="left"/>
      <w:pPr>
        <w:tabs>
          <w:tab w:val="num" w:pos="3421"/>
        </w:tabs>
        <w:ind w:left="3421" w:hanging="360"/>
      </w:pPr>
      <w:rPr>
        <w:rFonts w:cs="Times New Roman"/>
      </w:rPr>
    </w:lvl>
    <w:lvl w:ilvl="4">
      <w:start w:val="1"/>
      <w:numFmt w:val="lowerLetter"/>
      <w:lvlText w:val="(%5)"/>
      <w:lvlJc w:val="left"/>
      <w:pPr>
        <w:tabs>
          <w:tab w:val="num" w:pos="3781"/>
        </w:tabs>
        <w:ind w:left="3781" w:hanging="360"/>
      </w:pPr>
      <w:rPr>
        <w:rFonts w:cs="Times New Roman"/>
      </w:rPr>
    </w:lvl>
    <w:lvl w:ilvl="5">
      <w:start w:val="1"/>
      <w:numFmt w:val="lowerRoman"/>
      <w:lvlText w:val="(%6)"/>
      <w:lvlJc w:val="left"/>
      <w:pPr>
        <w:tabs>
          <w:tab w:val="num" w:pos="4141"/>
        </w:tabs>
        <w:ind w:left="4141" w:hanging="360"/>
      </w:pPr>
      <w:rPr>
        <w:rFonts w:cs="Times New Roman"/>
      </w:rPr>
    </w:lvl>
    <w:lvl w:ilvl="6">
      <w:start w:val="1"/>
      <w:numFmt w:val="decimal"/>
      <w:lvlText w:val="%7."/>
      <w:lvlJc w:val="left"/>
      <w:pPr>
        <w:tabs>
          <w:tab w:val="num" w:pos="4501"/>
        </w:tabs>
        <w:ind w:left="4501" w:hanging="360"/>
      </w:pPr>
      <w:rPr>
        <w:rFonts w:cs="Times New Roman"/>
      </w:rPr>
    </w:lvl>
    <w:lvl w:ilvl="7">
      <w:start w:val="1"/>
      <w:numFmt w:val="lowerLetter"/>
      <w:lvlText w:val="%8."/>
      <w:lvlJc w:val="left"/>
      <w:pPr>
        <w:tabs>
          <w:tab w:val="num" w:pos="4861"/>
        </w:tabs>
        <w:ind w:left="4861" w:hanging="360"/>
      </w:pPr>
      <w:rPr>
        <w:rFonts w:cs="Times New Roman"/>
      </w:rPr>
    </w:lvl>
    <w:lvl w:ilvl="8">
      <w:start w:val="1"/>
      <w:numFmt w:val="lowerRoman"/>
      <w:lvlText w:val="%9."/>
      <w:lvlJc w:val="left"/>
      <w:pPr>
        <w:tabs>
          <w:tab w:val="num" w:pos="5221"/>
        </w:tabs>
        <w:ind w:left="5221" w:hanging="360"/>
      </w:pPr>
      <w:rPr>
        <w:rFonts w:cs="Times New Roman"/>
      </w:rPr>
    </w:lvl>
  </w:abstractNum>
  <w:abstractNum w:abstractNumId="15" w15:restartNumberingAfterBreak="0">
    <w:nsid w:val="49B30BB1"/>
    <w:multiLevelType w:val="hybridMultilevel"/>
    <w:tmpl w:val="6E52CC36"/>
    <w:lvl w:ilvl="0" w:tplc="ABC40910">
      <w:start w:val="1"/>
      <w:numFmt w:val="lowerLetter"/>
      <w:lvlText w:val="%1)"/>
      <w:lvlJc w:val="left"/>
      <w:pPr>
        <w:tabs>
          <w:tab w:val="num" w:pos="1068"/>
        </w:tabs>
        <w:ind w:left="1068" w:hanging="360"/>
      </w:pPr>
      <w:rPr>
        <w:rFonts w:ascii="Times New Roman" w:eastAsia="Calibri" w:hAnsi="Times New Roman" w:cs="Times New Roman"/>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533C70B9"/>
    <w:multiLevelType w:val="hybridMultilevel"/>
    <w:tmpl w:val="F9B65D32"/>
    <w:lvl w:ilvl="0" w:tplc="FE00FA5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44D24"/>
    <w:multiLevelType w:val="hybridMultilevel"/>
    <w:tmpl w:val="AC303CF6"/>
    <w:lvl w:ilvl="0" w:tplc="1E7A999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62645A86"/>
    <w:multiLevelType w:val="hybridMultilevel"/>
    <w:tmpl w:val="F560ECC6"/>
    <w:lvl w:ilvl="0" w:tplc="FD6CB758">
      <w:start w:val="1"/>
      <w:numFmt w:val="lowerLetter"/>
      <w:lvlText w:val="%1)"/>
      <w:lvlJc w:val="left"/>
      <w:pPr>
        <w:ind w:left="1080" w:hanging="360"/>
      </w:pPr>
      <w:rPr>
        <w:rFonts w:ascii="Times New Roman" w:eastAsia="Calibri"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69CF6E47"/>
    <w:multiLevelType w:val="hybridMultilevel"/>
    <w:tmpl w:val="58AA075E"/>
    <w:lvl w:ilvl="0" w:tplc="04180015">
      <w:start w:val="1"/>
      <w:numFmt w:val="upp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6BCC3E54"/>
    <w:multiLevelType w:val="hybridMultilevel"/>
    <w:tmpl w:val="221CDBDC"/>
    <w:lvl w:ilvl="0" w:tplc="8E26C98E">
      <w:start w:val="1"/>
      <w:numFmt w:val="bullet"/>
      <w:lvlText w:val=""/>
      <w:lvlJc w:val="left"/>
      <w:pPr>
        <w:tabs>
          <w:tab w:val="num" w:pos="360"/>
        </w:tabs>
        <w:ind w:left="360" w:hanging="360"/>
      </w:pPr>
      <w:rPr>
        <w:rFonts w:ascii="Wingdings" w:hAnsi="Wingdings" w:hint="default"/>
      </w:rPr>
    </w:lvl>
    <w:lvl w:ilvl="1" w:tplc="20E2FF08">
      <w:start w:val="1"/>
      <w:numFmt w:val="bullet"/>
      <w:pStyle w:val="BulletAB1"/>
      <w:lvlText w:val=""/>
      <w:lvlJc w:val="left"/>
      <w:pPr>
        <w:tabs>
          <w:tab w:val="num" w:pos="1080"/>
        </w:tabs>
        <w:ind w:left="1008" w:hanging="288"/>
      </w:pPr>
      <w:rPr>
        <w:rFonts w:ascii="Symbol" w:hAnsi="Symbol"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3C22B1"/>
    <w:multiLevelType w:val="hybridMultilevel"/>
    <w:tmpl w:val="C608DC98"/>
    <w:lvl w:ilvl="0" w:tplc="04190001">
      <w:start w:val="1"/>
      <w:numFmt w:val="bullet"/>
      <w:lvlText w:val=""/>
      <w:lvlJc w:val="left"/>
      <w:pPr>
        <w:tabs>
          <w:tab w:val="num" w:pos="828"/>
        </w:tabs>
        <w:ind w:left="828" w:hanging="360"/>
      </w:pPr>
      <w:rPr>
        <w:rFonts w:ascii="Symbol" w:hAnsi="Symbol" w:hint="default"/>
        <w:color w:val="auto"/>
      </w:rPr>
    </w:lvl>
    <w:lvl w:ilvl="1" w:tplc="04190003">
      <w:start w:val="1"/>
      <w:numFmt w:val="bullet"/>
      <w:lvlText w:val=""/>
      <w:lvlJc w:val="left"/>
      <w:pPr>
        <w:tabs>
          <w:tab w:val="num" w:pos="797"/>
        </w:tabs>
        <w:ind w:left="1364" w:hanging="284"/>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FD3BEB"/>
    <w:multiLevelType w:val="multilevel"/>
    <w:tmpl w:val="7F181F12"/>
    <w:lvl w:ilvl="0">
      <w:start w:val="1"/>
      <w:numFmt w:val="upperLetter"/>
      <w:lvlText w:val="%1."/>
      <w:lvlJc w:val="left"/>
      <w:pPr>
        <w:tabs>
          <w:tab w:val="num" w:pos="360"/>
        </w:tabs>
        <w:ind w:left="360" w:hanging="360"/>
      </w:pPr>
      <w:rPr>
        <w:rFonts w:cs="Times New Roman"/>
      </w:rPr>
    </w:lvl>
    <w:lvl w:ilvl="1">
      <w:start w:val="1"/>
      <w:numFmt w:val="decimal"/>
      <w:lvlText w:val="%2."/>
      <w:lvlJc w:val="left"/>
      <w:pPr>
        <w:tabs>
          <w:tab w:val="num" w:pos="786"/>
        </w:tabs>
        <w:ind w:left="426"/>
      </w:pPr>
      <w:rPr>
        <w:rFonts w:cs="Times New Roman"/>
        <w:color w:val="auto"/>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7AF43B2F"/>
    <w:multiLevelType w:val="hybridMultilevel"/>
    <w:tmpl w:val="1B1E8F3C"/>
    <w:lvl w:ilvl="0" w:tplc="2760FD68">
      <w:start w:val="1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
  </w:num>
  <w:num w:numId="4">
    <w:abstractNumId w:val="8"/>
  </w:num>
  <w:num w:numId="5">
    <w:abstractNumId w:val="18"/>
  </w:num>
  <w:num w:numId="6">
    <w:abstractNumId w:val="14"/>
  </w:num>
  <w:num w:numId="7">
    <w:abstractNumId w:val="11"/>
  </w:num>
  <w:num w:numId="8">
    <w:abstractNumId w:val="22"/>
  </w:num>
  <w:num w:numId="9">
    <w:abstractNumId w:val="13"/>
  </w:num>
  <w:num w:numId="10">
    <w:abstractNumId w:val="4"/>
  </w:num>
  <w:num w:numId="11">
    <w:abstractNumId w:val="7"/>
  </w:num>
  <w:num w:numId="12">
    <w:abstractNumId w:val="6"/>
  </w:num>
  <w:num w:numId="13">
    <w:abstractNumId w:val="20"/>
  </w:num>
  <w:num w:numId="14">
    <w:abstractNumId w:val="21"/>
  </w:num>
  <w:num w:numId="15">
    <w:abstractNumId w:val="12"/>
  </w:num>
  <w:num w:numId="16">
    <w:abstractNumId w:val="19"/>
  </w:num>
  <w:num w:numId="17">
    <w:abstractNumId w:val="3"/>
  </w:num>
  <w:num w:numId="18">
    <w:abstractNumId w:val="2"/>
  </w:num>
  <w:num w:numId="19">
    <w:abstractNumId w:val="16"/>
  </w:num>
  <w:num w:numId="20">
    <w:abstractNumId w:val="23"/>
  </w:num>
  <w:num w:numId="21">
    <w:abstractNumId w:val="17"/>
  </w:num>
  <w:num w:numId="22">
    <w:abstractNumId w:val="10"/>
  </w:num>
  <w:num w:numId="23">
    <w:abstractNumId w:val="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5D"/>
    <w:rsid w:val="0001278F"/>
    <w:rsid w:val="00077290"/>
    <w:rsid w:val="003D495D"/>
    <w:rsid w:val="00657B16"/>
    <w:rsid w:val="008E6277"/>
    <w:rsid w:val="00E65892"/>
    <w:rsid w:val="00F651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F2AAF-71F6-4A6C-A306-C1566E85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MM1,(Text)"/>
    <w:basedOn w:val="Normal"/>
    <w:next w:val="Heading2"/>
    <w:link w:val="Heading1Char"/>
    <w:uiPriority w:val="99"/>
    <w:qFormat/>
    <w:rsid w:val="003D495D"/>
    <w:pPr>
      <w:keepNext/>
      <w:numPr>
        <w:numId w:val="6"/>
      </w:numPr>
      <w:spacing w:before="360" w:after="120" w:line="240" w:lineRule="auto"/>
      <w:jc w:val="center"/>
      <w:outlineLvl w:val="0"/>
    </w:pPr>
    <w:rPr>
      <w:rFonts w:ascii="Times New Roman" w:eastAsia="Calibri" w:hAnsi="Times New Roman" w:cs="Times New Roman"/>
      <w:b/>
      <w:kern w:val="28"/>
      <w:szCs w:val="20"/>
      <w:lang w:val="en-GB"/>
    </w:rPr>
  </w:style>
  <w:style w:type="paragraph" w:styleId="Heading2">
    <w:name w:val="heading 2"/>
    <w:aliases w:val="Text,MM2"/>
    <w:basedOn w:val="Normal"/>
    <w:next w:val="Normal"/>
    <w:link w:val="Heading2Char"/>
    <w:uiPriority w:val="99"/>
    <w:unhideWhenUsed/>
    <w:qFormat/>
    <w:rsid w:val="003D495D"/>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GB"/>
    </w:rPr>
  </w:style>
  <w:style w:type="paragraph" w:styleId="Heading3">
    <w:name w:val="heading 3"/>
    <w:aliases w:val="(text),MM3"/>
    <w:basedOn w:val="Normal"/>
    <w:next w:val="Normal"/>
    <w:link w:val="Heading3Char"/>
    <w:uiPriority w:val="99"/>
    <w:qFormat/>
    <w:rsid w:val="003D495D"/>
    <w:pPr>
      <w:keepNext/>
      <w:tabs>
        <w:tab w:val="num" w:pos="1080"/>
      </w:tabs>
      <w:spacing w:before="240" w:after="60" w:line="240" w:lineRule="auto"/>
      <w:ind w:left="1080" w:hanging="360"/>
      <w:outlineLvl w:val="2"/>
    </w:pPr>
    <w:rPr>
      <w:rFonts w:ascii="Arial" w:eastAsia="Calibri" w:hAnsi="Arial" w:cs="Times New Roman"/>
      <w:sz w:val="24"/>
      <w:szCs w:val="20"/>
      <w:lang w:val="en-US"/>
    </w:rPr>
  </w:style>
  <w:style w:type="paragraph" w:styleId="Heading4">
    <w:name w:val="heading 4"/>
    <w:basedOn w:val="Normal"/>
    <w:next w:val="Normal"/>
    <w:link w:val="Heading4Char"/>
    <w:uiPriority w:val="99"/>
    <w:qFormat/>
    <w:rsid w:val="003D495D"/>
    <w:pPr>
      <w:keepNext/>
      <w:tabs>
        <w:tab w:val="num" w:pos="1440"/>
      </w:tabs>
      <w:spacing w:before="240" w:after="60" w:line="240" w:lineRule="auto"/>
      <w:ind w:left="1440" w:hanging="360"/>
      <w:outlineLvl w:val="3"/>
    </w:pPr>
    <w:rPr>
      <w:rFonts w:ascii="Arial" w:eastAsia="Calibri" w:hAnsi="Arial" w:cs="Times New Roman"/>
      <w:b/>
      <w:sz w:val="24"/>
      <w:szCs w:val="20"/>
      <w:lang w:val="en-US"/>
    </w:rPr>
  </w:style>
  <w:style w:type="paragraph" w:styleId="Heading5">
    <w:name w:val="heading 5"/>
    <w:basedOn w:val="Normal"/>
    <w:next w:val="Normal"/>
    <w:link w:val="Heading5Char"/>
    <w:uiPriority w:val="99"/>
    <w:qFormat/>
    <w:rsid w:val="003D495D"/>
    <w:pPr>
      <w:tabs>
        <w:tab w:val="num" w:pos="1800"/>
      </w:tabs>
      <w:spacing w:before="240" w:after="60" w:line="240" w:lineRule="auto"/>
      <w:ind w:left="1800" w:hanging="360"/>
      <w:outlineLvl w:val="4"/>
    </w:pPr>
    <w:rPr>
      <w:rFonts w:ascii="Times New Roman" w:eastAsia="Calibri" w:hAnsi="Times New Roman" w:cs="Times New Roman"/>
      <w:szCs w:val="20"/>
      <w:lang w:val="en-US"/>
    </w:rPr>
  </w:style>
  <w:style w:type="paragraph" w:styleId="Heading6">
    <w:name w:val="heading 6"/>
    <w:basedOn w:val="Normal"/>
    <w:next w:val="Normal"/>
    <w:link w:val="Heading6Char"/>
    <w:uiPriority w:val="99"/>
    <w:qFormat/>
    <w:rsid w:val="003D495D"/>
    <w:pPr>
      <w:tabs>
        <w:tab w:val="num" w:pos="2160"/>
      </w:tabs>
      <w:spacing w:before="240" w:after="60" w:line="240" w:lineRule="auto"/>
      <w:ind w:left="2160" w:hanging="360"/>
      <w:outlineLvl w:val="5"/>
    </w:pPr>
    <w:rPr>
      <w:rFonts w:ascii="Times New Roman" w:eastAsia="Calibri" w:hAnsi="Times New Roman" w:cs="Times New Roman"/>
      <w:i/>
      <w:szCs w:val="20"/>
      <w:lang w:val="en-US"/>
    </w:rPr>
  </w:style>
  <w:style w:type="paragraph" w:styleId="Heading7">
    <w:name w:val="heading 7"/>
    <w:basedOn w:val="Normal"/>
    <w:next w:val="Normal"/>
    <w:link w:val="Heading7Char"/>
    <w:uiPriority w:val="99"/>
    <w:qFormat/>
    <w:rsid w:val="003D495D"/>
    <w:pPr>
      <w:tabs>
        <w:tab w:val="num" w:pos="2520"/>
      </w:tabs>
      <w:spacing w:before="240" w:after="60" w:line="240" w:lineRule="auto"/>
      <w:ind w:left="2520" w:hanging="360"/>
      <w:outlineLvl w:val="6"/>
    </w:pPr>
    <w:rPr>
      <w:rFonts w:ascii="Arial" w:eastAsia="Calibri" w:hAnsi="Arial" w:cs="Times New Roman"/>
      <w:sz w:val="20"/>
      <w:szCs w:val="20"/>
      <w:lang w:val="en-US"/>
    </w:rPr>
  </w:style>
  <w:style w:type="paragraph" w:styleId="Heading8">
    <w:name w:val="heading 8"/>
    <w:basedOn w:val="Normal"/>
    <w:next w:val="Normal"/>
    <w:link w:val="Heading8Char"/>
    <w:uiPriority w:val="99"/>
    <w:qFormat/>
    <w:rsid w:val="003D495D"/>
    <w:pPr>
      <w:tabs>
        <w:tab w:val="num" w:pos="2880"/>
      </w:tabs>
      <w:spacing w:before="240" w:after="60" w:line="240" w:lineRule="auto"/>
      <w:ind w:left="2880" w:hanging="360"/>
      <w:outlineLvl w:val="7"/>
    </w:pPr>
    <w:rPr>
      <w:rFonts w:ascii="Arial" w:eastAsia="Calibri" w:hAnsi="Arial" w:cs="Times New Roman"/>
      <w:i/>
      <w:sz w:val="20"/>
      <w:szCs w:val="20"/>
      <w:lang w:val="en-US"/>
    </w:rPr>
  </w:style>
  <w:style w:type="paragraph" w:styleId="Heading9">
    <w:name w:val="heading 9"/>
    <w:basedOn w:val="Normal"/>
    <w:next w:val="Normal"/>
    <w:link w:val="Heading9Char"/>
    <w:uiPriority w:val="99"/>
    <w:qFormat/>
    <w:rsid w:val="003D495D"/>
    <w:pPr>
      <w:tabs>
        <w:tab w:val="num" w:pos="3240"/>
      </w:tabs>
      <w:spacing w:before="240" w:after="60" w:line="240" w:lineRule="auto"/>
      <w:ind w:left="3240" w:hanging="360"/>
      <w:outlineLvl w:val="8"/>
    </w:pPr>
    <w:rPr>
      <w:rFonts w:ascii="Arial" w:eastAsia="Calibri" w:hAnsi="Arial" w:cs="Times New Roman"/>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M1 Char,(Text) Char"/>
    <w:basedOn w:val="DefaultParagraphFont"/>
    <w:link w:val="Heading1"/>
    <w:uiPriority w:val="99"/>
    <w:rsid w:val="003D495D"/>
    <w:rPr>
      <w:rFonts w:ascii="Times New Roman" w:eastAsia="Calibri" w:hAnsi="Times New Roman" w:cs="Times New Roman"/>
      <w:b/>
      <w:kern w:val="28"/>
      <w:szCs w:val="20"/>
      <w:lang w:val="en-GB"/>
    </w:rPr>
  </w:style>
  <w:style w:type="character" w:customStyle="1" w:styleId="Heading2Char">
    <w:name w:val="Heading 2 Char"/>
    <w:aliases w:val="Text Char,MM2 Char"/>
    <w:basedOn w:val="DefaultParagraphFont"/>
    <w:link w:val="Heading2"/>
    <w:uiPriority w:val="99"/>
    <w:rsid w:val="003D495D"/>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aliases w:val="(text) Char,MM3 Char"/>
    <w:basedOn w:val="DefaultParagraphFont"/>
    <w:link w:val="Heading3"/>
    <w:uiPriority w:val="99"/>
    <w:rsid w:val="003D495D"/>
    <w:rPr>
      <w:rFonts w:ascii="Arial" w:eastAsia="Calibri" w:hAnsi="Arial" w:cs="Times New Roman"/>
      <w:sz w:val="24"/>
      <w:szCs w:val="20"/>
      <w:lang w:val="en-US"/>
    </w:rPr>
  </w:style>
  <w:style w:type="character" w:customStyle="1" w:styleId="Heading4Char">
    <w:name w:val="Heading 4 Char"/>
    <w:basedOn w:val="DefaultParagraphFont"/>
    <w:link w:val="Heading4"/>
    <w:uiPriority w:val="99"/>
    <w:rsid w:val="003D495D"/>
    <w:rPr>
      <w:rFonts w:ascii="Arial" w:eastAsia="Calibri" w:hAnsi="Arial" w:cs="Times New Roman"/>
      <w:b/>
      <w:sz w:val="24"/>
      <w:szCs w:val="20"/>
      <w:lang w:val="en-US"/>
    </w:rPr>
  </w:style>
  <w:style w:type="character" w:customStyle="1" w:styleId="Heading5Char">
    <w:name w:val="Heading 5 Char"/>
    <w:basedOn w:val="DefaultParagraphFont"/>
    <w:link w:val="Heading5"/>
    <w:uiPriority w:val="99"/>
    <w:rsid w:val="003D495D"/>
    <w:rPr>
      <w:rFonts w:ascii="Times New Roman" w:eastAsia="Calibri" w:hAnsi="Times New Roman" w:cs="Times New Roman"/>
      <w:szCs w:val="20"/>
      <w:lang w:val="en-US"/>
    </w:rPr>
  </w:style>
  <w:style w:type="character" w:customStyle="1" w:styleId="Heading6Char">
    <w:name w:val="Heading 6 Char"/>
    <w:basedOn w:val="DefaultParagraphFont"/>
    <w:link w:val="Heading6"/>
    <w:uiPriority w:val="99"/>
    <w:rsid w:val="003D495D"/>
    <w:rPr>
      <w:rFonts w:ascii="Times New Roman" w:eastAsia="Calibri" w:hAnsi="Times New Roman" w:cs="Times New Roman"/>
      <w:i/>
      <w:szCs w:val="20"/>
      <w:lang w:val="en-US"/>
    </w:rPr>
  </w:style>
  <w:style w:type="character" w:customStyle="1" w:styleId="Heading7Char">
    <w:name w:val="Heading 7 Char"/>
    <w:basedOn w:val="DefaultParagraphFont"/>
    <w:link w:val="Heading7"/>
    <w:uiPriority w:val="99"/>
    <w:rsid w:val="003D495D"/>
    <w:rPr>
      <w:rFonts w:ascii="Arial" w:eastAsia="Calibri" w:hAnsi="Arial" w:cs="Times New Roman"/>
      <w:sz w:val="20"/>
      <w:szCs w:val="20"/>
      <w:lang w:val="en-US"/>
    </w:rPr>
  </w:style>
  <w:style w:type="character" w:customStyle="1" w:styleId="Heading8Char">
    <w:name w:val="Heading 8 Char"/>
    <w:basedOn w:val="DefaultParagraphFont"/>
    <w:link w:val="Heading8"/>
    <w:uiPriority w:val="99"/>
    <w:rsid w:val="003D495D"/>
    <w:rPr>
      <w:rFonts w:ascii="Arial" w:eastAsia="Calibri" w:hAnsi="Arial" w:cs="Times New Roman"/>
      <w:i/>
      <w:sz w:val="20"/>
      <w:szCs w:val="20"/>
      <w:lang w:val="en-US"/>
    </w:rPr>
  </w:style>
  <w:style w:type="character" w:customStyle="1" w:styleId="Heading9Char">
    <w:name w:val="Heading 9 Char"/>
    <w:basedOn w:val="DefaultParagraphFont"/>
    <w:link w:val="Heading9"/>
    <w:uiPriority w:val="99"/>
    <w:rsid w:val="003D495D"/>
    <w:rPr>
      <w:rFonts w:ascii="Arial" w:eastAsia="Calibri" w:hAnsi="Arial" w:cs="Times New Roman"/>
      <w:b/>
      <w:i/>
      <w:sz w:val="18"/>
      <w:szCs w:val="20"/>
      <w:lang w:val="en-US"/>
    </w:rPr>
  </w:style>
  <w:style w:type="numbering" w:customStyle="1" w:styleId="FrListare1">
    <w:name w:val="Fără Listare1"/>
    <w:next w:val="NoList"/>
    <w:uiPriority w:val="99"/>
    <w:semiHidden/>
    <w:unhideWhenUsed/>
    <w:rsid w:val="003D495D"/>
  </w:style>
  <w:style w:type="paragraph" w:customStyle="1" w:styleId="HeadingBold">
    <w:name w:val="Heading Bold"/>
    <w:basedOn w:val="Normal"/>
    <w:next w:val="Heading2"/>
    <w:uiPriority w:val="99"/>
    <w:rsid w:val="003D495D"/>
    <w:pPr>
      <w:keepNext/>
      <w:spacing w:before="240" w:after="120" w:line="240" w:lineRule="auto"/>
    </w:pPr>
    <w:rPr>
      <w:rFonts w:ascii="Times New Roman" w:eastAsia="Calibri" w:hAnsi="Times New Roman" w:cs="Times New Roman"/>
      <w:b/>
      <w:sz w:val="21"/>
      <w:szCs w:val="20"/>
      <w:lang w:val="en-GB"/>
    </w:rPr>
  </w:style>
  <w:style w:type="paragraph" w:customStyle="1" w:styleId="1">
    <w:name w:val="Абзац списка1"/>
    <w:basedOn w:val="Normal"/>
    <w:uiPriority w:val="99"/>
    <w:rsid w:val="003D495D"/>
    <w:pPr>
      <w:spacing w:after="0" w:line="240" w:lineRule="auto"/>
      <w:ind w:left="720"/>
      <w:contextualSpacing/>
    </w:pPr>
    <w:rPr>
      <w:rFonts w:ascii="Times New Roman" w:eastAsia="Calibri" w:hAnsi="Times New Roman" w:cs="Times New Roman"/>
      <w:szCs w:val="20"/>
      <w:lang w:val="en-GB"/>
    </w:rPr>
  </w:style>
  <w:style w:type="paragraph" w:customStyle="1" w:styleId="Listparagraf1">
    <w:name w:val="Listă paragraf1"/>
    <w:basedOn w:val="Normal"/>
    <w:uiPriority w:val="99"/>
    <w:qFormat/>
    <w:rsid w:val="003D495D"/>
    <w:pPr>
      <w:spacing w:after="0" w:line="240" w:lineRule="auto"/>
      <w:ind w:left="720"/>
      <w:contextualSpacing/>
    </w:pPr>
    <w:rPr>
      <w:rFonts w:ascii="Times New Roman" w:eastAsia="Calibri" w:hAnsi="Times New Roman" w:cs="Times New Roman"/>
      <w:szCs w:val="20"/>
      <w:lang w:val="en-GB"/>
    </w:rPr>
  </w:style>
  <w:style w:type="paragraph" w:styleId="NormalWeb">
    <w:name w:val="Normal (Web)"/>
    <w:basedOn w:val="Normal"/>
    <w:uiPriority w:val="99"/>
    <w:rsid w:val="003D49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rspaiere1">
    <w:name w:val="Fără spațiere1"/>
    <w:uiPriority w:val="99"/>
    <w:qFormat/>
    <w:rsid w:val="003D495D"/>
    <w:pPr>
      <w:spacing w:after="0" w:line="240" w:lineRule="auto"/>
    </w:pPr>
    <w:rPr>
      <w:rFonts w:ascii="Calibri" w:eastAsia="Times New Roman" w:hAnsi="Calibri" w:cs="Times New Roman"/>
      <w:lang w:val="en-US"/>
    </w:rPr>
  </w:style>
  <w:style w:type="character" w:customStyle="1" w:styleId="apple-converted-space">
    <w:name w:val="apple-converted-space"/>
    <w:basedOn w:val="DefaultParagraphFont"/>
    <w:rsid w:val="003D495D"/>
  </w:style>
  <w:style w:type="paragraph" w:styleId="BalloonText">
    <w:name w:val="Balloon Text"/>
    <w:basedOn w:val="Normal"/>
    <w:link w:val="BalloonTextChar"/>
    <w:uiPriority w:val="99"/>
    <w:semiHidden/>
    <w:unhideWhenUsed/>
    <w:rsid w:val="003D495D"/>
    <w:pPr>
      <w:spacing w:after="0" w:line="240" w:lineRule="auto"/>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3D495D"/>
    <w:rPr>
      <w:rFonts w:ascii="Tahoma" w:eastAsia="Calibri" w:hAnsi="Tahoma" w:cs="Tahoma"/>
      <w:sz w:val="16"/>
      <w:szCs w:val="16"/>
      <w:lang w:val="en-GB"/>
    </w:rPr>
  </w:style>
  <w:style w:type="character" w:styleId="Emphasis">
    <w:name w:val="Emphasis"/>
    <w:uiPriority w:val="20"/>
    <w:qFormat/>
    <w:rsid w:val="003D495D"/>
    <w:rPr>
      <w:i/>
      <w:iCs/>
    </w:rPr>
  </w:style>
  <w:style w:type="table" w:styleId="TableGrid">
    <w:name w:val="Table Grid"/>
    <w:basedOn w:val="TableNormal"/>
    <w:uiPriority w:val="59"/>
    <w:rsid w:val="003D495D"/>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3D495D"/>
    <w:rPr>
      <w:b/>
      <w:bCs/>
    </w:rPr>
  </w:style>
  <w:style w:type="paragraph" w:styleId="NoSpacing">
    <w:name w:val="No Spacing"/>
    <w:uiPriority w:val="99"/>
    <w:qFormat/>
    <w:rsid w:val="003D495D"/>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3D495D"/>
    <w:pPr>
      <w:tabs>
        <w:tab w:val="center" w:pos="4844"/>
        <w:tab w:val="right" w:pos="9689"/>
      </w:tabs>
      <w:spacing w:after="0" w:line="240" w:lineRule="auto"/>
    </w:pPr>
    <w:rPr>
      <w:rFonts w:ascii="Times New Roman" w:eastAsia="Calibri" w:hAnsi="Times New Roman" w:cs="Times New Roman"/>
      <w:szCs w:val="20"/>
      <w:lang w:val="en-GB"/>
    </w:rPr>
  </w:style>
  <w:style w:type="character" w:customStyle="1" w:styleId="HeaderChar">
    <w:name w:val="Header Char"/>
    <w:basedOn w:val="DefaultParagraphFont"/>
    <w:link w:val="Header"/>
    <w:uiPriority w:val="99"/>
    <w:rsid w:val="003D495D"/>
    <w:rPr>
      <w:rFonts w:ascii="Times New Roman" w:eastAsia="Calibri" w:hAnsi="Times New Roman" w:cs="Times New Roman"/>
      <w:szCs w:val="20"/>
      <w:lang w:val="en-GB"/>
    </w:rPr>
  </w:style>
  <w:style w:type="paragraph" w:styleId="Footer">
    <w:name w:val="footer"/>
    <w:basedOn w:val="Normal"/>
    <w:link w:val="FooterChar"/>
    <w:uiPriority w:val="99"/>
    <w:unhideWhenUsed/>
    <w:rsid w:val="003D495D"/>
    <w:pPr>
      <w:tabs>
        <w:tab w:val="center" w:pos="4844"/>
        <w:tab w:val="right" w:pos="9689"/>
      </w:tabs>
      <w:spacing w:after="0" w:line="240" w:lineRule="auto"/>
    </w:pPr>
    <w:rPr>
      <w:rFonts w:ascii="Times New Roman" w:eastAsia="Calibri" w:hAnsi="Times New Roman" w:cs="Times New Roman"/>
      <w:szCs w:val="20"/>
      <w:lang w:val="en-GB"/>
    </w:rPr>
  </w:style>
  <w:style w:type="character" w:customStyle="1" w:styleId="FooterChar">
    <w:name w:val="Footer Char"/>
    <w:basedOn w:val="DefaultParagraphFont"/>
    <w:link w:val="Footer"/>
    <w:uiPriority w:val="99"/>
    <w:rsid w:val="003D495D"/>
    <w:rPr>
      <w:rFonts w:ascii="Times New Roman" w:eastAsia="Calibri" w:hAnsi="Times New Roman" w:cs="Times New Roman"/>
      <w:szCs w:val="20"/>
      <w:lang w:val="en-GB"/>
    </w:rPr>
  </w:style>
  <w:style w:type="paragraph" w:styleId="ListParagraph">
    <w:name w:val="List Paragraph"/>
    <w:aliases w:val="List Paragraph 1"/>
    <w:basedOn w:val="Normal"/>
    <w:link w:val="ListParagraphChar"/>
    <w:uiPriority w:val="34"/>
    <w:qFormat/>
    <w:rsid w:val="003D495D"/>
    <w:pPr>
      <w:spacing w:after="0" w:line="240" w:lineRule="auto"/>
      <w:ind w:left="720"/>
      <w:contextualSpacing/>
    </w:pPr>
    <w:rPr>
      <w:rFonts w:ascii="Times New Roman" w:eastAsia="Calibri" w:hAnsi="Times New Roman" w:cs="Times New Roman"/>
      <w:szCs w:val="20"/>
      <w:lang w:val="en-GB"/>
    </w:rPr>
  </w:style>
  <w:style w:type="paragraph" w:customStyle="1" w:styleId="HeadingItalic">
    <w:name w:val="Heading Italic"/>
    <w:basedOn w:val="HeadingBold"/>
    <w:next w:val="Heading2"/>
    <w:uiPriority w:val="99"/>
    <w:rsid w:val="003D495D"/>
    <w:pPr>
      <w:spacing w:before="120" w:after="0"/>
      <w:ind w:left="360"/>
    </w:pPr>
    <w:rPr>
      <w:b w:val="0"/>
      <w:i/>
    </w:rPr>
  </w:style>
  <w:style w:type="paragraph" w:customStyle="1" w:styleId="GeneralText">
    <w:name w:val="General Text"/>
    <w:basedOn w:val="Normal"/>
    <w:uiPriority w:val="99"/>
    <w:rsid w:val="003D495D"/>
    <w:pPr>
      <w:spacing w:before="120" w:after="60" w:line="240" w:lineRule="auto"/>
      <w:jc w:val="both"/>
    </w:pPr>
    <w:rPr>
      <w:rFonts w:ascii="Times New Roman" w:eastAsia="Calibri" w:hAnsi="Times New Roman" w:cs="Times New Roman"/>
      <w:sz w:val="21"/>
      <w:szCs w:val="20"/>
      <w:lang w:val="en-GB"/>
    </w:rPr>
  </w:style>
  <w:style w:type="paragraph" w:customStyle="1" w:styleId="BulletAB1">
    <w:name w:val="Bullet AB1"/>
    <w:basedOn w:val="GeneralText"/>
    <w:uiPriority w:val="99"/>
    <w:rsid w:val="003D495D"/>
    <w:pPr>
      <w:numPr>
        <w:ilvl w:val="1"/>
        <w:numId w:val="13"/>
      </w:numPr>
      <w:tabs>
        <w:tab w:val="left" w:pos="1008"/>
      </w:tabs>
      <w:spacing w:before="0"/>
    </w:pPr>
  </w:style>
  <w:style w:type="paragraph" w:customStyle="1" w:styleId="BulletAB2">
    <w:name w:val="Bullet AB2"/>
    <w:basedOn w:val="Normal"/>
    <w:uiPriority w:val="99"/>
    <w:rsid w:val="003D495D"/>
    <w:pPr>
      <w:tabs>
        <w:tab w:val="left" w:pos="1368"/>
      </w:tabs>
      <w:spacing w:after="60" w:line="240" w:lineRule="auto"/>
      <w:ind w:left="1368" w:hanging="216"/>
      <w:jc w:val="both"/>
    </w:pPr>
    <w:rPr>
      <w:rFonts w:ascii="Times New Roman" w:eastAsia="Calibri" w:hAnsi="Times New Roman" w:cs="Times New Roman"/>
      <w:sz w:val="21"/>
      <w:szCs w:val="20"/>
      <w:lang w:val="en-GB"/>
    </w:rPr>
  </w:style>
  <w:style w:type="paragraph" w:customStyle="1" w:styleId="BoxText">
    <w:name w:val="Box Text"/>
    <w:basedOn w:val="Normal"/>
    <w:uiPriority w:val="99"/>
    <w:rsid w:val="003D495D"/>
    <w:pPr>
      <w:spacing w:before="40" w:after="40" w:line="240" w:lineRule="auto"/>
    </w:pPr>
    <w:rPr>
      <w:rFonts w:ascii="Times New Roman" w:eastAsia="Calibri" w:hAnsi="Times New Roman" w:cs="Times New Roman"/>
      <w:sz w:val="17"/>
      <w:szCs w:val="20"/>
      <w:lang w:val="en-GB"/>
    </w:rPr>
  </w:style>
  <w:style w:type="paragraph" w:customStyle="1" w:styleId="BoxBullet">
    <w:name w:val="Box Bullet"/>
    <w:basedOn w:val="BoxText"/>
    <w:uiPriority w:val="99"/>
    <w:rsid w:val="003D495D"/>
    <w:pPr>
      <w:numPr>
        <w:numId w:val="7"/>
      </w:numPr>
      <w:tabs>
        <w:tab w:val="left" w:pos="144"/>
        <w:tab w:val="left" w:pos="432"/>
      </w:tabs>
      <w:spacing w:after="0"/>
      <w:ind w:left="144"/>
    </w:pPr>
  </w:style>
  <w:style w:type="paragraph" w:customStyle="1" w:styleId="TitleSmall">
    <w:name w:val="Title Small"/>
    <w:basedOn w:val="HeadingBold"/>
    <w:next w:val="HeadingBold"/>
    <w:uiPriority w:val="99"/>
    <w:rsid w:val="003D495D"/>
    <w:pPr>
      <w:spacing w:before="360" w:after="240"/>
      <w:jc w:val="center"/>
    </w:pPr>
    <w:rPr>
      <w:sz w:val="28"/>
    </w:rPr>
  </w:style>
  <w:style w:type="paragraph" w:customStyle="1" w:styleId="TitleLarge">
    <w:name w:val="Title Large"/>
    <w:basedOn w:val="TitleSmall"/>
    <w:uiPriority w:val="99"/>
    <w:rsid w:val="003D495D"/>
    <w:pPr>
      <w:spacing w:before="1200" w:after="600"/>
    </w:pPr>
    <w:rPr>
      <w:sz w:val="44"/>
    </w:rPr>
  </w:style>
  <w:style w:type="paragraph" w:styleId="FootnoteText">
    <w:name w:val="footnote text"/>
    <w:aliases w:val="Fußnotentext Char,Caracter,Caracter Char,Footnote Text Char1,Footnote Text Char Char,Footnote Text Char2 Char Char,Footnote Text Char Char1 Char Char,Footnote Text Char1 Char Char Char Char,Footnote Text Char Char Char Char Char Char"/>
    <w:basedOn w:val="Normal"/>
    <w:link w:val="FootnoteTextChar"/>
    <w:uiPriority w:val="99"/>
    <w:semiHidden/>
    <w:rsid w:val="003D495D"/>
    <w:pPr>
      <w:tabs>
        <w:tab w:val="left" w:pos="432"/>
      </w:tabs>
      <w:spacing w:after="20" w:line="240" w:lineRule="auto"/>
      <w:ind w:left="432" w:hanging="432"/>
      <w:jc w:val="both"/>
    </w:pPr>
    <w:rPr>
      <w:rFonts w:ascii="Times New Roman" w:eastAsia="Calibri" w:hAnsi="Times New Roman" w:cs="Times New Roman"/>
      <w:sz w:val="18"/>
      <w:szCs w:val="20"/>
      <w:lang w:val="en-GB"/>
    </w:rPr>
  </w:style>
  <w:style w:type="character" w:customStyle="1" w:styleId="FootnoteTextChar">
    <w:name w:val="Footnote Text Char"/>
    <w:aliases w:val="Fußnotentext Char Char,Caracter Char1,Caracter Char Char,Footnote Text Char1 Char,Footnote Text Char Char Char,Footnote Text Char2 Char Char Char,Footnote Text Char Char1 Char Char Char,Footnote Text Char1 Char Char Char Char Char"/>
    <w:basedOn w:val="DefaultParagraphFont"/>
    <w:link w:val="FootnoteText"/>
    <w:uiPriority w:val="99"/>
    <w:semiHidden/>
    <w:rsid w:val="003D495D"/>
    <w:rPr>
      <w:rFonts w:ascii="Times New Roman" w:eastAsia="Calibri" w:hAnsi="Times New Roman" w:cs="Times New Roman"/>
      <w:sz w:val="18"/>
      <w:szCs w:val="20"/>
      <w:lang w:val="en-GB"/>
    </w:rPr>
  </w:style>
  <w:style w:type="paragraph" w:customStyle="1" w:styleId="BoxBullet2">
    <w:name w:val="Box Bullet 2"/>
    <w:basedOn w:val="BoxText"/>
    <w:uiPriority w:val="99"/>
    <w:rsid w:val="003D495D"/>
    <w:pPr>
      <w:tabs>
        <w:tab w:val="left" w:pos="288"/>
        <w:tab w:val="left" w:pos="360"/>
        <w:tab w:val="num" w:pos="504"/>
        <w:tab w:val="left" w:pos="576"/>
      </w:tabs>
      <w:spacing w:before="0" w:after="0"/>
      <w:ind w:left="288" w:hanging="144"/>
    </w:pPr>
  </w:style>
  <w:style w:type="paragraph" w:styleId="BodyText2">
    <w:name w:val="Body Text 2"/>
    <w:basedOn w:val="Normal"/>
    <w:link w:val="BodyText2Char"/>
    <w:uiPriority w:val="99"/>
    <w:rsid w:val="003D495D"/>
    <w:pPr>
      <w:numPr>
        <w:numId w:val="9"/>
      </w:numPr>
      <w:spacing w:after="0" w:line="240" w:lineRule="auto"/>
      <w:jc w:val="center"/>
    </w:pPr>
    <w:rPr>
      <w:rFonts w:ascii="Times New Roman" w:eastAsia="Calibri" w:hAnsi="Times New Roman" w:cs="Times New Roman"/>
      <w:sz w:val="24"/>
      <w:szCs w:val="20"/>
      <w:lang w:val="en-US"/>
    </w:rPr>
  </w:style>
  <w:style w:type="character" w:customStyle="1" w:styleId="BodyText2Char">
    <w:name w:val="Body Text 2 Char"/>
    <w:basedOn w:val="DefaultParagraphFont"/>
    <w:link w:val="BodyText2"/>
    <w:uiPriority w:val="99"/>
    <w:rsid w:val="003D495D"/>
    <w:rPr>
      <w:rFonts w:ascii="Times New Roman" w:eastAsia="Calibri" w:hAnsi="Times New Roman" w:cs="Times New Roman"/>
      <w:sz w:val="24"/>
      <w:szCs w:val="20"/>
      <w:lang w:val="en-US"/>
    </w:rPr>
  </w:style>
  <w:style w:type="paragraph" w:customStyle="1" w:styleId="BulletAB3">
    <w:name w:val="Bullet AB3"/>
    <w:basedOn w:val="BodyText"/>
    <w:uiPriority w:val="99"/>
    <w:rsid w:val="003D495D"/>
    <w:pPr>
      <w:tabs>
        <w:tab w:val="left" w:pos="1656"/>
        <w:tab w:val="left" w:pos="1728"/>
      </w:tabs>
      <w:spacing w:after="40"/>
      <w:ind w:left="1656"/>
      <w:jc w:val="both"/>
    </w:pPr>
  </w:style>
  <w:style w:type="paragraph" w:styleId="BodyText">
    <w:name w:val="Body Text"/>
    <w:basedOn w:val="Normal"/>
    <w:link w:val="BodyTextChar"/>
    <w:uiPriority w:val="99"/>
    <w:rsid w:val="003D495D"/>
    <w:pPr>
      <w:numPr>
        <w:numId w:val="10"/>
      </w:numPr>
      <w:spacing w:after="120" w:line="240" w:lineRule="auto"/>
    </w:pPr>
    <w:rPr>
      <w:rFonts w:ascii="Times New Roman" w:eastAsia="Calibri" w:hAnsi="Times New Roman" w:cs="Times New Roman"/>
      <w:sz w:val="21"/>
      <w:szCs w:val="20"/>
      <w:lang w:val="en-GB"/>
    </w:rPr>
  </w:style>
  <w:style w:type="character" w:customStyle="1" w:styleId="BodyTextChar">
    <w:name w:val="Body Text Char"/>
    <w:basedOn w:val="DefaultParagraphFont"/>
    <w:link w:val="BodyText"/>
    <w:uiPriority w:val="99"/>
    <w:rsid w:val="003D495D"/>
    <w:rPr>
      <w:rFonts w:ascii="Times New Roman" w:eastAsia="Calibri" w:hAnsi="Times New Roman" w:cs="Times New Roman"/>
      <w:sz w:val="21"/>
      <w:szCs w:val="20"/>
      <w:lang w:val="en-GB"/>
    </w:rPr>
  </w:style>
  <w:style w:type="character" w:styleId="PageNumber">
    <w:name w:val="page number"/>
    <w:basedOn w:val="DefaultParagraphFont"/>
    <w:uiPriority w:val="99"/>
    <w:rsid w:val="003D495D"/>
    <w:rPr>
      <w:rFonts w:cs="Times New Roman"/>
    </w:rPr>
  </w:style>
  <w:style w:type="paragraph" w:customStyle="1" w:styleId="MatrixBullet">
    <w:name w:val="Matrix Bullet"/>
    <w:basedOn w:val="BoxBullet"/>
    <w:uiPriority w:val="99"/>
    <w:rsid w:val="003D495D"/>
    <w:pPr>
      <w:numPr>
        <w:numId w:val="0"/>
      </w:numPr>
      <w:tabs>
        <w:tab w:val="clear" w:pos="144"/>
        <w:tab w:val="clear" w:pos="432"/>
        <w:tab w:val="num" w:pos="360"/>
      </w:tabs>
      <w:spacing w:before="20"/>
      <w:ind w:left="360" w:hanging="360"/>
    </w:pPr>
    <w:rPr>
      <w:sz w:val="16"/>
    </w:rPr>
  </w:style>
  <w:style w:type="paragraph" w:customStyle="1" w:styleId="TitlePage">
    <w:name w:val="Title Page"/>
    <w:basedOn w:val="TitleSmall"/>
    <w:uiPriority w:val="99"/>
    <w:rsid w:val="003D495D"/>
    <w:pPr>
      <w:numPr>
        <w:numId w:val="11"/>
      </w:numPr>
      <w:tabs>
        <w:tab w:val="clear" w:pos="360"/>
      </w:tabs>
      <w:spacing w:before="1800" w:after="0" w:line="360" w:lineRule="auto"/>
      <w:ind w:left="144" w:right="720"/>
      <w:jc w:val="left"/>
    </w:pPr>
    <w:rPr>
      <w:rFonts w:ascii="Arial" w:hAnsi="Arial"/>
    </w:rPr>
  </w:style>
  <w:style w:type="character" w:customStyle="1" w:styleId="DocumentMapChar">
    <w:name w:val="Document Map Char"/>
    <w:basedOn w:val="DefaultParagraphFont"/>
    <w:link w:val="DocumentMap"/>
    <w:uiPriority w:val="99"/>
    <w:semiHidden/>
    <w:rsid w:val="003D495D"/>
    <w:rPr>
      <w:rFonts w:ascii="Tahoma" w:eastAsia="Calibri" w:hAnsi="Tahoma" w:cs="Times New Roman"/>
      <w:szCs w:val="20"/>
      <w:shd w:val="clear" w:color="auto" w:fill="000080"/>
      <w:lang w:val="en-GB"/>
    </w:rPr>
  </w:style>
  <w:style w:type="paragraph" w:styleId="DocumentMap">
    <w:name w:val="Document Map"/>
    <w:basedOn w:val="Normal"/>
    <w:link w:val="DocumentMapChar"/>
    <w:uiPriority w:val="99"/>
    <w:semiHidden/>
    <w:rsid w:val="003D495D"/>
    <w:pPr>
      <w:shd w:val="clear" w:color="auto" w:fill="000080"/>
      <w:tabs>
        <w:tab w:val="num" w:pos="1512"/>
      </w:tabs>
      <w:spacing w:after="0" w:line="240" w:lineRule="auto"/>
      <w:ind w:left="1368" w:hanging="216"/>
    </w:pPr>
    <w:rPr>
      <w:rFonts w:ascii="Tahoma" w:eastAsia="Calibri" w:hAnsi="Tahoma" w:cs="Times New Roman"/>
      <w:szCs w:val="20"/>
      <w:lang w:val="en-GB"/>
    </w:rPr>
  </w:style>
  <w:style w:type="character" w:customStyle="1" w:styleId="PlandocumentCaracter1">
    <w:name w:val="Plan document Caracter1"/>
    <w:basedOn w:val="DefaultParagraphFont"/>
    <w:uiPriority w:val="99"/>
    <w:semiHidden/>
    <w:rsid w:val="003D495D"/>
    <w:rPr>
      <w:rFonts w:ascii="Segoe UI" w:hAnsi="Segoe UI" w:cs="Segoe UI"/>
      <w:sz w:val="16"/>
      <w:szCs w:val="16"/>
    </w:rPr>
  </w:style>
  <w:style w:type="paragraph" w:customStyle="1" w:styleId="MMBull1">
    <w:name w:val="MMBull1"/>
    <w:basedOn w:val="Normal"/>
    <w:uiPriority w:val="99"/>
    <w:rsid w:val="003D495D"/>
    <w:pPr>
      <w:tabs>
        <w:tab w:val="num" w:pos="1080"/>
        <w:tab w:val="left" w:pos="1134"/>
      </w:tabs>
      <w:spacing w:after="60" w:line="240" w:lineRule="auto"/>
      <w:ind w:left="1008" w:hanging="288"/>
      <w:jc w:val="both"/>
    </w:pPr>
    <w:rPr>
      <w:rFonts w:ascii="Times New Roman" w:eastAsia="Calibri" w:hAnsi="Times New Roman" w:cs="Times New Roman"/>
      <w:sz w:val="20"/>
      <w:szCs w:val="20"/>
      <w:lang w:val="en-GB"/>
    </w:rPr>
  </w:style>
  <w:style w:type="paragraph" w:customStyle="1" w:styleId="Style">
    <w:name w:val="Style"/>
    <w:uiPriority w:val="99"/>
    <w:rsid w:val="003D495D"/>
    <w:pPr>
      <w:widowControl w:val="0"/>
      <w:autoSpaceDE w:val="0"/>
      <w:autoSpaceDN w:val="0"/>
      <w:adjustRightInd w:val="0"/>
      <w:spacing w:after="0" w:line="240" w:lineRule="auto"/>
    </w:pPr>
    <w:rPr>
      <w:rFonts w:ascii="Times New Roman" w:eastAsia="Calibri" w:hAnsi="Times New Roman" w:cs="Times New Roman"/>
      <w:sz w:val="24"/>
      <w:szCs w:val="24"/>
      <w:lang w:val="en-US"/>
    </w:rPr>
  </w:style>
  <w:style w:type="paragraph" w:styleId="BodyText3">
    <w:name w:val="Body Text 3"/>
    <w:basedOn w:val="Normal"/>
    <w:link w:val="BodyText3Char"/>
    <w:uiPriority w:val="99"/>
    <w:rsid w:val="003D495D"/>
    <w:pPr>
      <w:spacing w:after="0" w:line="240" w:lineRule="auto"/>
      <w:jc w:val="both"/>
    </w:pPr>
    <w:rPr>
      <w:rFonts w:ascii="Times New Roman" w:eastAsia="Calibri" w:hAnsi="Times New Roman" w:cs="Times New Roman"/>
      <w:b/>
      <w:bCs/>
      <w:i/>
      <w:iCs/>
      <w:sz w:val="24"/>
      <w:szCs w:val="24"/>
      <w:lang w:val="en-GB" w:eastAsia="ru-RU"/>
    </w:rPr>
  </w:style>
  <w:style w:type="character" w:customStyle="1" w:styleId="BodyText3Char">
    <w:name w:val="Body Text 3 Char"/>
    <w:basedOn w:val="DefaultParagraphFont"/>
    <w:link w:val="BodyText3"/>
    <w:uiPriority w:val="99"/>
    <w:rsid w:val="003D495D"/>
    <w:rPr>
      <w:rFonts w:ascii="Times New Roman" w:eastAsia="Calibri" w:hAnsi="Times New Roman" w:cs="Times New Roman"/>
      <w:b/>
      <w:bCs/>
      <w:i/>
      <w:iCs/>
      <w:sz w:val="24"/>
      <w:szCs w:val="24"/>
      <w:lang w:val="en-GB" w:eastAsia="ru-RU"/>
    </w:rPr>
  </w:style>
  <w:style w:type="paragraph" w:customStyle="1" w:styleId="xl70">
    <w:name w:val="xl70"/>
    <w:basedOn w:val="Normal"/>
    <w:uiPriority w:val="99"/>
    <w:rsid w:val="003D495D"/>
    <w:pPr>
      <w:spacing w:before="100" w:beforeAutospacing="1" w:after="100" w:afterAutospacing="1" w:line="240" w:lineRule="auto"/>
    </w:pPr>
    <w:rPr>
      <w:rFonts w:ascii="Arial" w:eastAsia="Times New Roman" w:hAnsi="Arial" w:cs="Arial"/>
      <w:b/>
      <w:bCs/>
      <w:sz w:val="24"/>
      <w:szCs w:val="24"/>
      <w:lang w:val="en-GB"/>
    </w:rPr>
  </w:style>
  <w:style w:type="paragraph" w:customStyle="1" w:styleId="Listacubuline">
    <w:name w:val="Lista cu buline"/>
    <w:basedOn w:val="Normal"/>
    <w:uiPriority w:val="99"/>
    <w:rsid w:val="003D495D"/>
    <w:pPr>
      <w:tabs>
        <w:tab w:val="num" w:pos="797"/>
      </w:tabs>
      <w:spacing w:after="0" w:line="240" w:lineRule="auto"/>
      <w:ind w:left="1364" w:hanging="284"/>
    </w:pPr>
    <w:rPr>
      <w:rFonts w:ascii="Times New Roman" w:eastAsia="Calibri" w:hAnsi="Times New Roman" w:cs="Times New Roman"/>
      <w:sz w:val="24"/>
      <w:szCs w:val="24"/>
      <w:lang w:val="ru-RU" w:eastAsia="ru-RU"/>
    </w:rPr>
  </w:style>
  <w:style w:type="paragraph" w:customStyle="1" w:styleId="a">
    <w:name w:val="Знак Знак"/>
    <w:basedOn w:val="Normal"/>
    <w:next w:val="Normal"/>
    <w:uiPriority w:val="99"/>
    <w:rsid w:val="003D495D"/>
    <w:pPr>
      <w:numPr>
        <w:numId w:val="12"/>
      </w:numPr>
      <w:spacing w:line="240" w:lineRule="exact"/>
    </w:pPr>
    <w:rPr>
      <w:rFonts w:ascii="Tahoma" w:eastAsia="Calibri" w:hAnsi="Tahoma" w:cs="Times New Roman"/>
      <w:sz w:val="24"/>
      <w:szCs w:val="20"/>
    </w:rPr>
  </w:style>
  <w:style w:type="paragraph" w:customStyle="1" w:styleId="CharCharCharChar">
    <w:name w:val="Char Char Char Char"/>
    <w:basedOn w:val="Normal"/>
    <w:uiPriority w:val="99"/>
    <w:rsid w:val="003D495D"/>
    <w:pPr>
      <w:spacing w:line="240" w:lineRule="exact"/>
    </w:pPr>
    <w:rPr>
      <w:rFonts w:ascii="Arial" w:eastAsia="Batang" w:hAnsi="Arial" w:cs="Arial"/>
      <w:sz w:val="20"/>
      <w:szCs w:val="20"/>
    </w:rPr>
  </w:style>
  <w:style w:type="paragraph" w:customStyle="1" w:styleId="Char">
    <w:name w:val="Char"/>
    <w:basedOn w:val="Normal"/>
    <w:next w:val="Normal"/>
    <w:uiPriority w:val="99"/>
    <w:rsid w:val="003D495D"/>
    <w:pPr>
      <w:spacing w:line="240" w:lineRule="exact"/>
    </w:pPr>
    <w:rPr>
      <w:rFonts w:ascii="Tahoma" w:eastAsia="Calibri" w:hAnsi="Tahoma" w:cs="Times New Roman"/>
      <w:sz w:val="24"/>
      <w:szCs w:val="20"/>
    </w:rPr>
  </w:style>
  <w:style w:type="character" w:customStyle="1" w:styleId="CommentTextChar">
    <w:name w:val="Comment Text Char"/>
    <w:basedOn w:val="DefaultParagraphFont"/>
    <w:link w:val="CommentText"/>
    <w:uiPriority w:val="99"/>
    <w:semiHidden/>
    <w:rsid w:val="003D495D"/>
    <w:rPr>
      <w:rFonts w:ascii="Times New Roman" w:eastAsia="Calibri" w:hAnsi="Times New Roman" w:cs="Times New Roman"/>
      <w:sz w:val="20"/>
      <w:szCs w:val="20"/>
      <w:lang w:val="en-GB"/>
    </w:rPr>
  </w:style>
  <w:style w:type="paragraph" w:styleId="CommentText">
    <w:name w:val="annotation text"/>
    <w:basedOn w:val="Normal"/>
    <w:link w:val="CommentTextChar"/>
    <w:uiPriority w:val="99"/>
    <w:semiHidden/>
    <w:rsid w:val="003D495D"/>
    <w:pPr>
      <w:spacing w:after="0" w:line="240" w:lineRule="auto"/>
    </w:pPr>
    <w:rPr>
      <w:rFonts w:ascii="Times New Roman" w:eastAsia="Calibri" w:hAnsi="Times New Roman" w:cs="Times New Roman"/>
      <w:sz w:val="20"/>
      <w:szCs w:val="20"/>
      <w:lang w:val="en-GB"/>
    </w:rPr>
  </w:style>
  <w:style w:type="character" w:customStyle="1" w:styleId="TextcomentariuCaracter1">
    <w:name w:val="Text comentariu Caracter1"/>
    <w:basedOn w:val="DefaultParagraphFont"/>
    <w:uiPriority w:val="99"/>
    <w:semiHidden/>
    <w:rsid w:val="003D495D"/>
    <w:rPr>
      <w:sz w:val="20"/>
      <w:szCs w:val="20"/>
    </w:rPr>
  </w:style>
  <w:style w:type="character" w:customStyle="1" w:styleId="CommentSubjectChar">
    <w:name w:val="Comment Subject Char"/>
    <w:basedOn w:val="CommentTextChar"/>
    <w:link w:val="CommentSubject"/>
    <w:uiPriority w:val="99"/>
    <w:semiHidden/>
    <w:rsid w:val="003D495D"/>
    <w:rPr>
      <w:rFonts w:ascii="Times New Roman" w:eastAsia="Calibri"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3D495D"/>
    <w:rPr>
      <w:b/>
      <w:bCs/>
    </w:rPr>
  </w:style>
  <w:style w:type="character" w:customStyle="1" w:styleId="SubiectComentariuCaracter1">
    <w:name w:val="Subiect Comentariu Caracter1"/>
    <w:basedOn w:val="TextcomentariuCaracter1"/>
    <w:uiPriority w:val="99"/>
    <w:semiHidden/>
    <w:rsid w:val="003D495D"/>
    <w:rPr>
      <w:b/>
      <w:bCs/>
      <w:sz w:val="20"/>
      <w:szCs w:val="20"/>
    </w:rPr>
  </w:style>
  <w:style w:type="paragraph" w:customStyle="1" w:styleId="a0">
    <w:name w:val="Знак Знак Знак Знак Знак"/>
    <w:basedOn w:val="Normal"/>
    <w:uiPriority w:val="99"/>
    <w:rsid w:val="003D495D"/>
    <w:pPr>
      <w:spacing w:line="240" w:lineRule="exact"/>
    </w:pPr>
    <w:rPr>
      <w:rFonts w:ascii="Arial" w:eastAsia="Batang" w:hAnsi="Arial" w:cs="Arial"/>
      <w:sz w:val="20"/>
      <w:szCs w:val="20"/>
      <w:lang w:val="en-US"/>
    </w:rPr>
  </w:style>
  <w:style w:type="character" w:customStyle="1" w:styleId="FunotentextChar">
    <w:name w:val="Fußnotentext Char Знак"/>
    <w:aliases w:val="Caracter Знак,Caracter Char Знак,Footnote Text Char1 Знак,Footnote Text Char Char Знак,Footnote Text Char2 Char Char Знак,Footnote Text Char Char1 Char Char Знак,Footnote Text Char1 Char Char Char Char Знак"/>
    <w:uiPriority w:val="99"/>
    <w:rsid w:val="003D495D"/>
    <w:rPr>
      <w:lang w:val="en-GB" w:eastAsia="en-GB"/>
    </w:rPr>
  </w:style>
  <w:style w:type="paragraph" w:customStyle="1" w:styleId="a1">
    <w:name w:val="Без интервала"/>
    <w:link w:val="a2"/>
    <w:uiPriority w:val="99"/>
    <w:rsid w:val="003D495D"/>
    <w:pPr>
      <w:spacing w:after="0" w:line="240" w:lineRule="auto"/>
      <w:ind w:hanging="720"/>
      <w:jc w:val="both"/>
    </w:pPr>
    <w:rPr>
      <w:rFonts w:ascii="Calibri" w:eastAsia="Times New Roman" w:hAnsi="Calibri" w:cs="Times New Roman"/>
      <w:lang w:val="en-US"/>
    </w:rPr>
  </w:style>
  <w:style w:type="character" w:customStyle="1" w:styleId="a2">
    <w:name w:val="Без интервала Знак"/>
    <w:link w:val="a1"/>
    <w:uiPriority w:val="99"/>
    <w:locked/>
    <w:rsid w:val="003D495D"/>
    <w:rPr>
      <w:rFonts w:ascii="Calibri" w:eastAsia="Times New Roman" w:hAnsi="Calibri" w:cs="Times New Roman"/>
      <w:lang w:val="en-US"/>
    </w:rPr>
  </w:style>
  <w:style w:type="character" w:customStyle="1" w:styleId="2">
    <w:name w:val="Знак Знак2"/>
    <w:uiPriority w:val="99"/>
    <w:rsid w:val="003D495D"/>
    <w:rPr>
      <w:rFonts w:ascii="Segoe UI" w:hAnsi="Segoe UI"/>
      <w:sz w:val="18"/>
      <w:lang w:val="en-US" w:eastAsia="en-US"/>
    </w:rPr>
  </w:style>
  <w:style w:type="character" w:customStyle="1" w:styleId="10">
    <w:name w:val="Знак Знак1"/>
    <w:uiPriority w:val="99"/>
    <w:rsid w:val="003D495D"/>
    <w:rPr>
      <w:rFonts w:ascii="Calibri" w:hAnsi="Calibri"/>
      <w:lang w:val="en-US" w:eastAsia="en-US"/>
    </w:rPr>
  </w:style>
  <w:style w:type="character" w:customStyle="1" w:styleId="3">
    <w:name w:val="Знак Знак3"/>
    <w:uiPriority w:val="99"/>
    <w:rsid w:val="003D495D"/>
    <w:rPr>
      <w:rFonts w:ascii="Calibri" w:hAnsi="Calibri"/>
      <w:b/>
      <w:lang w:val="en-US" w:eastAsia="en-US"/>
    </w:rPr>
  </w:style>
  <w:style w:type="character" w:customStyle="1" w:styleId="11">
    <w:name w:val="Знак Знак11"/>
    <w:basedOn w:val="DefaultParagraphFont"/>
    <w:uiPriority w:val="99"/>
    <w:semiHidden/>
    <w:locked/>
    <w:rsid w:val="003D495D"/>
    <w:rPr>
      <w:rFonts w:ascii="Times New Roman" w:eastAsia="Times New Roman" w:hAnsi="Times New Roman" w:cs="Times New Roman"/>
      <w:sz w:val="20"/>
      <w:szCs w:val="20"/>
      <w:lang w:val="en-GB"/>
    </w:rPr>
  </w:style>
  <w:style w:type="character" w:customStyle="1" w:styleId="ListParagraphChar">
    <w:name w:val="List Paragraph Char"/>
    <w:aliases w:val="List Paragraph 1 Char"/>
    <w:link w:val="ListParagraph"/>
    <w:uiPriority w:val="34"/>
    <w:locked/>
    <w:rsid w:val="003D495D"/>
    <w:rPr>
      <w:rFonts w:ascii="Times New Roman" w:eastAsia="Calibri"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10179</Words>
  <Characters>58025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2016-03-21T12:23:00Z</dcterms:created>
  <dcterms:modified xsi:type="dcterms:W3CDTF">2016-03-21T12:23:00Z</dcterms:modified>
</cp:coreProperties>
</file>